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3A36B" w14:textId="77777777" w:rsidR="00F54F1F" w:rsidRPr="003A6D7B" w:rsidRDefault="00F54F1F" w:rsidP="00F54F1F">
      <w:pPr>
        <w:spacing w:after="0" w:line="240" w:lineRule="auto"/>
        <w:ind w:right="-8"/>
        <w:rPr>
          <w:rFonts w:ascii="Times New Roman" w:hAnsi="Times New Roman" w:cs="Times New Roman"/>
          <w:sz w:val="20"/>
          <w:szCs w:val="20"/>
        </w:rPr>
      </w:pPr>
    </w:p>
    <w:tbl>
      <w:tblPr>
        <w:tblStyle w:val="LightShading"/>
        <w:tblW w:w="0" w:type="auto"/>
        <w:tblBorders>
          <w:top w:val="none" w:sz="0" w:space="0" w:color="auto"/>
          <w:bottom w:val="none" w:sz="0" w:space="0" w:color="auto"/>
        </w:tblBorders>
        <w:tblLook w:val="04A0" w:firstRow="1" w:lastRow="0" w:firstColumn="1" w:lastColumn="0" w:noHBand="0" w:noVBand="1"/>
      </w:tblPr>
      <w:tblGrid>
        <w:gridCol w:w="4494"/>
        <w:gridCol w:w="5123"/>
      </w:tblGrid>
      <w:tr w:rsidR="00F54F1F" w:rsidRPr="003A6D7B" w14:paraId="55725550" w14:textId="77777777" w:rsidTr="00876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right w:val="none" w:sz="0" w:space="0" w:color="auto"/>
            </w:tcBorders>
            <w:shd w:val="clear" w:color="auto" w:fill="auto"/>
          </w:tcPr>
          <w:p w14:paraId="2E013609" w14:textId="77777777" w:rsidR="00F54F1F" w:rsidRPr="003A6D7B" w:rsidRDefault="00F54F1F" w:rsidP="00876CCD">
            <w:pPr>
              <w:pStyle w:val="Malinaslovopisa"/>
              <w:ind w:right="-8"/>
              <w:rPr>
                <w:rFonts w:ascii="Times New Roman" w:hAnsi="Times New Roman" w:cs="Times New Roman"/>
                <w:b w:val="0"/>
                <w:bCs w:val="0"/>
                <w:lang w:val="hr-HR"/>
              </w:rPr>
            </w:pPr>
            <w:r w:rsidRPr="003A6D7B">
              <w:rPr>
                <w:rFonts w:ascii="Times New Roman" w:hAnsi="Times New Roman" w:cs="Times New Roman"/>
                <w:noProof/>
                <w:lang w:eastAsia="hr-HR"/>
              </w:rPr>
              <w:drawing>
                <wp:inline distT="0" distB="0" distL="0" distR="0" wp14:anchorId="6A08AC52" wp14:editId="69C7ABEA">
                  <wp:extent cx="2400398" cy="2400398"/>
                  <wp:effectExtent l="0" t="0" r="12700" b="1270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00535" cy="2400535"/>
                          </a:xfrm>
                          <a:prstGeom prst="rect">
                            <a:avLst/>
                          </a:prstGeom>
                        </pic:spPr>
                      </pic:pic>
                    </a:graphicData>
                  </a:graphic>
                </wp:inline>
              </w:drawing>
            </w:r>
          </w:p>
        </w:tc>
        <w:tc>
          <w:tcPr>
            <w:tcW w:w="5210" w:type="dxa"/>
            <w:tcBorders>
              <w:top w:val="none" w:sz="0" w:space="0" w:color="auto"/>
              <w:left w:val="none" w:sz="0" w:space="0" w:color="auto"/>
              <w:bottom w:val="none" w:sz="0" w:space="0" w:color="auto"/>
              <w:right w:val="none" w:sz="0" w:space="0" w:color="auto"/>
            </w:tcBorders>
            <w:shd w:val="clear" w:color="auto" w:fill="auto"/>
            <w:vAlign w:val="center"/>
          </w:tcPr>
          <w:p w14:paraId="7F82BBFA" w14:textId="77777777" w:rsidR="00F54F1F" w:rsidRPr="003A6D7B" w:rsidRDefault="00F54F1F" w:rsidP="00876CCD">
            <w:pPr>
              <w:pStyle w:val="NoSpacing"/>
              <w:ind w:right="-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bl>
    <w:p w14:paraId="1E3FC2B2" w14:textId="77777777" w:rsidR="00F54F1F" w:rsidRPr="003A6D7B" w:rsidRDefault="00F54F1F" w:rsidP="00F54F1F">
      <w:pPr>
        <w:pStyle w:val="Malinaslovopisa"/>
        <w:ind w:right="-8"/>
        <w:rPr>
          <w:rFonts w:ascii="Times New Roman" w:hAnsi="Times New Roman" w:cs="Times New Roman"/>
        </w:rPr>
      </w:pPr>
    </w:p>
    <w:p w14:paraId="0F1CD7F8" w14:textId="77777777" w:rsidR="00F54F1F" w:rsidRPr="003A6D7B" w:rsidRDefault="00F54F1F" w:rsidP="00F54F1F">
      <w:pPr>
        <w:pStyle w:val="Malinaslovopisa"/>
        <w:ind w:right="-8"/>
        <w:rPr>
          <w:rFonts w:ascii="Times New Roman" w:hAnsi="Times New Roman" w:cs="Times New Roman"/>
        </w:rPr>
      </w:pPr>
    </w:p>
    <w:p w14:paraId="60960C80" w14:textId="77777777" w:rsidR="00F54F1F" w:rsidRPr="003A6D7B" w:rsidRDefault="00F54F1F" w:rsidP="00F54F1F">
      <w:pPr>
        <w:pStyle w:val="Malinaslovopisa"/>
        <w:ind w:right="-8"/>
        <w:rPr>
          <w:rFonts w:ascii="Times New Roman" w:hAnsi="Times New Roman" w:cs="Times New Roman"/>
        </w:rPr>
      </w:pPr>
    </w:p>
    <w:p w14:paraId="776A684F" w14:textId="03799A87" w:rsidR="00F54F1F" w:rsidRPr="003A6D7B" w:rsidRDefault="00F85BE6" w:rsidP="00741DC7">
      <w:pPr>
        <w:pStyle w:val="NASLOVNICA"/>
        <w:ind w:left="1985"/>
        <w:rPr>
          <w:rFonts w:ascii="Times New Roman" w:hAnsi="Times New Roman" w:cs="Times New Roman"/>
          <w:sz w:val="96"/>
          <w:szCs w:val="28"/>
        </w:rPr>
      </w:pPr>
      <w:r w:rsidRPr="003A6D7B">
        <w:rPr>
          <w:rFonts w:ascii="Times New Roman" w:hAnsi="Times New Roman" w:cs="Times New Roman"/>
          <w:sz w:val="96"/>
          <w:szCs w:val="28"/>
        </w:rPr>
        <w:t>Program rada i financijski plan za 202</w:t>
      </w:r>
      <w:r w:rsidR="00CA5062" w:rsidRPr="003A6D7B">
        <w:rPr>
          <w:rFonts w:ascii="Times New Roman" w:hAnsi="Times New Roman" w:cs="Times New Roman"/>
          <w:sz w:val="96"/>
          <w:szCs w:val="28"/>
        </w:rPr>
        <w:t>3</w:t>
      </w:r>
      <w:r w:rsidRPr="003A6D7B">
        <w:rPr>
          <w:rFonts w:ascii="Times New Roman" w:hAnsi="Times New Roman" w:cs="Times New Roman"/>
          <w:sz w:val="96"/>
          <w:szCs w:val="28"/>
        </w:rPr>
        <w:t>. godinu</w:t>
      </w:r>
    </w:p>
    <w:p w14:paraId="4830886C" w14:textId="77777777" w:rsidR="00F54F1F" w:rsidRPr="003A6D7B" w:rsidRDefault="00F54F1F" w:rsidP="00F54F1F">
      <w:pPr>
        <w:pStyle w:val="NASLOV01"/>
        <w:rPr>
          <w:rFonts w:ascii="Times New Roman" w:hAnsi="Times New Roman" w:cs="Times New Roman"/>
        </w:rPr>
      </w:pPr>
      <w:r w:rsidRPr="003A6D7B">
        <w:rPr>
          <w:rFonts w:ascii="Times New Roman" w:hAnsi="Times New Roman" w:cs="Times New Roman"/>
          <w:noProof/>
          <w:lang w:eastAsia="hr-HR"/>
        </w:rPr>
        <mc:AlternateContent>
          <mc:Choice Requires="wps">
            <w:drawing>
              <wp:anchor distT="0" distB="0" distL="114300" distR="114300" simplePos="0" relativeHeight="251659264" behindDoc="0" locked="0" layoutInCell="1" allowOverlap="1" wp14:anchorId="2C1B1FF4" wp14:editId="27A5955B">
                <wp:simplePos x="0" y="0"/>
                <wp:positionH relativeFrom="column">
                  <wp:posOffset>1257300</wp:posOffset>
                </wp:positionH>
                <wp:positionV relativeFrom="paragraph">
                  <wp:posOffset>306705</wp:posOffset>
                </wp:positionV>
                <wp:extent cx="48600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860000" cy="0"/>
                        </a:xfrm>
                        <a:prstGeom prst="line">
                          <a:avLst/>
                        </a:prstGeom>
                        <a:ln w="12700">
                          <a:solidFill>
                            <a:schemeClr val="tx1">
                              <a:lumMod val="75000"/>
                              <a:lumOff val="25000"/>
                            </a:schemeClr>
                          </a:solidFill>
                          <a:beve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219A35"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4.15pt" to="481.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XI4gEAADEEAAAOAAAAZHJzL2Uyb0RvYy54bWysU8lu2zAQvRfoPxC817KFNgkEyzkkSC9d&#10;gjb9AJoaWgS4gWQk+e87JGU5bosegvhAk8OZeQtH29tJKzKAD9Kalm5Wa0rAcNtJc2jpr6eHDzeU&#10;hMhMx5Q10NIjBHq7e/9uO7oGattb1YEn2MSEZnQt7WN0TVUF3oNmYWUdGLwU1msW8egPVefZiN21&#10;qur1+qoare+ctxxCwOh9uaS73F8I4PG7EAEiUS1FbjGvPq/7tFa7LWsOnrle8pkGewULzaRB0KXV&#10;PYuMPHv5VystubfBirjiVldWCMkha0A1m/Ufan72zEHWguYEt9gU3q4t/zbcmUePNowuNME9+qRi&#10;El6nf+RHpmzWcTELpkg4Bj/eXK3xRwk/3VXnQudD/AxWk7RpqZIm6WANG76EiGCYekpJYWXIiNNT&#10;X2O/dA5Wye5BKpUPaRbgTnkyMHzFOG1yjnrWX21XYtefEpP8lhjGFy/h+hRGuDxRqUsGvwDYwwCq&#10;kFImIUIenJnp2Ze8i0cFhfIPEER26ERdOF/SZJyDiZtECtGVwexUJlDUUjiL/V/hnH9mtRQXFxZZ&#10;RfElatFxQrYmLsVaGuv/RTu5WyiLko/0X+hO273tjnli8gXOZVY4f0Np8F+ec/n5S9/9BgAA//8D&#10;AFBLAwQUAAYACAAAACEA72fmB98AAAAJAQAADwAAAGRycy9kb3ducmV2LnhtbEyPQUvDQBCF74L/&#10;YRnBi7QbbYxpzKYUQRApiGkPHjfZaRKbnQ3ZbRv/vSMe9PjePN58L19NthcnHH3nSMHtPAKBVDvT&#10;UaNgt32epSB80GR07wgVfKGHVXF5kevMuDO946kMjeAS8plW0IYwZFL6ukWr/dwNSHzbu9HqwHJs&#10;pBn1mcttL++iKJFWd8QfWj3gU4v1oTxaBZs1Jm/ljX+1n7vDy76muLp/+FDq+mpaP4IIOIW/MPzg&#10;MzoUzFS5IxkvetbLlLcEBXG6AMGBZbKIQVS/hixy+X9B8Q0AAP//AwBQSwECLQAUAAYACAAAACEA&#10;toM4kv4AAADhAQAAEwAAAAAAAAAAAAAAAAAAAAAAW0NvbnRlbnRfVHlwZXNdLnhtbFBLAQItABQA&#10;BgAIAAAAIQA4/SH/1gAAAJQBAAALAAAAAAAAAAAAAAAAAC8BAABfcmVscy8ucmVsc1BLAQItABQA&#10;BgAIAAAAIQDBCpXI4gEAADEEAAAOAAAAAAAAAAAAAAAAAC4CAABkcnMvZTJvRG9jLnhtbFBLAQIt&#10;ABQABgAIAAAAIQDvZ+YH3wAAAAkBAAAPAAAAAAAAAAAAAAAAADwEAABkcnMvZG93bnJldi54bWxQ&#10;SwUGAAAAAAQABADzAAAASAUAAAAA&#10;" strokecolor="#404040 [2429]" strokeweight="1pt">
                <v:stroke joinstyle="bevel"/>
              </v:line>
            </w:pict>
          </mc:Fallback>
        </mc:AlternateContent>
      </w:r>
    </w:p>
    <w:p w14:paraId="4029A3EB" w14:textId="77777777" w:rsidR="00F54F1F" w:rsidRPr="003A6D7B" w:rsidRDefault="00F54F1F" w:rsidP="00F54F1F">
      <w:pPr>
        <w:spacing w:after="0" w:line="264" w:lineRule="auto"/>
        <w:ind w:left="1985"/>
        <w:rPr>
          <w:rFonts w:ascii="Times New Roman" w:hAnsi="Times New Roman" w:cs="Times New Roman"/>
          <w:sz w:val="20"/>
          <w:szCs w:val="20"/>
        </w:rPr>
      </w:pPr>
    </w:p>
    <w:p w14:paraId="18823B2D" w14:textId="5BD34F29" w:rsidR="00F54F1F" w:rsidRPr="003A6D7B" w:rsidRDefault="00F54F1F" w:rsidP="00F54F1F">
      <w:pPr>
        <w:spacing w:after="0" w:line="264" w:lineRule="auto"/>
        <w:ind w:left="1985"/>
        <w:rPr>
          <w:rFonts w:ascii="Times New Roman" w:hAnsi="Times New Roman" w:cs="Times New Roman"/>
          <w:sz w:val="20"/>
          <w:szCs w:val="20"/>
        </w:rPr>
      </w:pPr>
    </w:p>
    <w:p w14:paraId="5490B6FA" w14:textId="722F2B7A" w:rsidR="006E1A9B" w:rsidRPr="003A6D7B" w:rsidRDefault="006E1A9B" w:rsidP="00F54F1F">
      <w:pPr>
        <w:spacing w:after="0" w:line="264" w:lineRule="auto"/>
        <w:ind w:left="1985"/>
        <w:rPr>
          <w:rFonts w:ascii="Times New Roman" w:hAnsi="Times New Roman" w:cs="Times New Roman"/>
          <w:sz w:val="20"/>
          <w:szCs w:val="20"/>
        </w:rPr>
      </w:pPr>
    </w:p>
    <w:p w14:paraId="16A3D2B2" w14:textId="1F5C3DC0" w:rsidR="006E1A9B" w:rsidRPr="003A6D7B" w:rsidRDefault="006E1A9B" w:rsidP="00F54F1F">
      <w:pPr>
        <w:spacing w:after="0" w:line="264" w:lineRule="auto"/>
        <w:ind w:left="1985"/>
        <w:rPr>
          <w:rFonts w:ascii="Times New Roman" w:hAnsi="Times New Roman" w:cs="Times New Roman"/>
          <w:sz w:val="20"/>
          <w:szCs w:val="20"/>
        </w:rPr>
      </w:pPr>
    </w:p>
    <w:p w14:paraId="30B9B6C2" w14:textId="58987BAB" w:rsidR="006E1A9B" w:rsidRPr="003A6D7B" w:rsidRDefault="006E1A9B" w:rsidP="00F54F1F">
      <w:pPr>
        <w:spacing w:after="0" w:line="264" w:lineRule="auto"/>
        <w:ind w:left="1985"/>
        <w:rPr>
          <w:rFonts w:ascii="Times New Roman" w:hAnsi="Times New Roman" w:cs="Times New Roman"/>
          <w:sz w:val="20"/>
          <w:szCs w:val="20"/>
        </w:rPr>
      </w:pPr>
    </w:p>
    <w:p w14:paraId="6CCD22D0" w14:textId="741EF776" w:rsidR="006E1A9B" w:rsidRPr="003A6D7B" w:rsidRDefault="006E1A9B" w:rsidP="00F54F1F">
      <w:pPr>
        <w:spacing w:after="0" w:line="264" w:lineRule="auto"/>
        <w:ind w:left="1985"/>
        <w:rPr>
          <w:rFonts w:ascii="Times New Roman" w:hAnsi="Times New Roman" w:cs="Times New Roman"/>
          <w:sz w:val="20"/>
          <w:szCs w:val="20"/>
        </w:rPr>
      </w:pPr>
    </w:p>
    <w:p w14:paraId="3CCFAECD" w14:textId="1645D47F" w:rsidR="006E1A9B" w:rsidRPr="003A6D7B" w:rsidRDefault="006E1A9B" w:rsidP="00A45655">
      <w:pPr>
        <w:spacing w:after="0" w:line="264" w:lineRule="auto"/>
        <w:rPr>
          <w:rFonts w:ascii="Times New Roman" w:hAnsi="Times New Roman" w:cs="Times New Roman"/>
          <w:sz w:val="20"/>
          <w:szCs w:val="20"/>
        </w:rPr>
      </w:pPr>
    </w:p>
    <w:p w14:paraId="0FF5B6ED" w14:textId="4977B406" w:rsidR="006E1A9B" w:rsidRPr="003A6D7B" w:rsidRDefault="006E1A9B" w:rsidP="00F54F1F">
      <w:pPr>
        <w:spacing w:after="0" w:line="264" w:lineRule="auto"/>
        <w:ind w:left="1985"/>
        <w:rPr>
          <w:rFonts w:ascii="Times New Roman" w:hAnsi="Times New Roman" w:cs="Times New Roman"/>
          <w:sz w:val="20"/>
          <w:szCs w:val="20"/>
        </w:rPr>
      </w:pPr>
    </w:p>
    <w:p w14:paraId="10421DBA" w14:textId="792E189B" w:rsidR="006E1A9B" w:rsidRPr="003A6D7B" w:rsidRDefault="006E1A9B" w:rsidP="00F54F1F">
      <w:pPr>
        <w:spacing w:after="0" w:line="264" w:lineRule="auto"/>
        <w:ind w:left="1985"/>
        <w:rPr>
          <w:rFonts w:ascii="Times New Roman" w:hAnsi="Times New Roman" w:cs="Times New Roman"/>
          <w:sz w:val="20"/>
          <w:szCs w:val="20"/>
        </w:rPr>
      </w:pPr>
    </w:p>
    <w:p w14:paraId="7872F6A1" w14:textId="335EFCC1" w:rsidR="006E1A9B" w:rsidRPr="003A6D7B" w:rsidRDefault="006E1A9B" w:rsidP="00F54F1F">
      <w:pPr>
        <w:spacing w:after="0" w:line="264" w:lineRule="auto"/>
        <w:ind w:left="1985"/>
        <w:rPr>
          <w:rFonts w:ascii="Times New Roman" w:hAnsi="Times New Roman" w:cs="Times New Roman"/>
          <w:sz w:val="20"/>
          <w:szCs w:val="20"/>
        </w:rPr>
      </w:pPr>
    </w:p>
    <w:p w14:paraId="5E134417" w14:textId="49905241" w:rsidR="006E1A9B" w:rsidRPr="003A6D7B" w:rsidRDefault="006E1A9B" w:rsidP="00F54F1F">
      <w:pPr>
        <w:spacing w:after="0" w:line="264" w:lineRule="auto"/>
        <w:ind w:left="1985"/>
        <w:rPr>
          <w:rFonts w:ascii="Times New Roman" w:hAnsi="Times New Roman" w:cs="Times New Roman"/>
          <w:sz w:val="20"/>
          <w:szCs w:val="20"/>
        </w:rPr>
      </w:pPr>
    </w:p>
    <w:p w14:paraId="2FA25C35" w14:textId="77777777" w:rsidR="006E1A9B" w:rsidRPr="003A6D7B" w:rsidRDefault="006E1A9B" w:rsidP="00F54F1F">
      <w:pPr>
        <w:spacing w:after="0" w:line="264" w:lineRule="auto"/>
        <w:ind w:left="1985"/>
        <w:rPr>
          <w:rFonts w:ascii="Times New Roman" w:hAnsi="Times New Roman" w:cs="Times New Roman"/>
          <w:sz w:val="20"/>
          <w:szCs w:val="20"/>
        </w:rPr>
      </w:pPr>
    </w:p>
    <w:p w14:paraId="5724E7CA" w14:textId="77777777" w:rsidR="00F54F1F" w:rsidRPr="003A6D7B" w:rsidRDefault="00F54F1F" w:rsidP="00F54F1F">
      <w:pPr>
        <w:spacing w:after="0" w:line="264" w:lineRule="auto"/>
        <w:ind w:left="1985"/>
        <w:rPr>
          <w:rFonts w:ascii="Times New Roman" w:hAnsi="Times New Roman" w:cs="Times New Roman"/>
          <w:sz w:val="20"/>
          <w:szCs w:val="20"/>
        </w:rPr>
      </w:pPr>
    </w:p>
    <w:p w14:paraId="3DDD244C" w14:textId="77777777" w:rsidR="00F54F1F" w:rsidRPr="003A6D7B" w:rsidRDefault="00F54F1F" w:rsidP="00F54F1F">
      <w:pPr>
        <w:spacing w:after="0" w:line="264" w:lineRule="auto"/>
        <w:ind w:left="1985"/>
        <w:rPr>
          <w:rFonts w:ascii="Times New Roman" w:hAnsi="Times New Roman" w:cs="Times New Roman"/>
          <w:sz w:val="20"/>
          <w:szCs w:val="20"/>
        </w:rPr>
      </w:pPr>
    </w:p>
    <w:p w14:paraId="67C6515F" w14:textId="77777777" w:rsidR="00F54F1F" w:rsidRPr="003A6D7B" w:rsidRDefault="00F54F1F" w:rsidP="00F54F1F">
      <w:pPr>
        <w:pStyle w:val="Default"/>
        <w:ind w:left="1985"/>
        <w:rPr>
          <w:lang w:val="hr-HR"/>
        </w:rPr>
      </w:pPr>
    </w:p>
    <w:tbl>
      <w:tblPr>
        <w:tblStyle w:val="LightShading"/>
        <w:tblW w:w="7655" w:type="dxa"/>
        <w:tblInd w:w="1985" w:type="dxa"/>
        <w:tblLook w:val="04A0" w:firstRow="1" w:lastRow="0" w:firstColumn="1" w:lastColumn="0" w:noHBand="0" w:noVBand="1"/>
      </w:tblPr>
      <w:tblGrid>
        <w:gridCol w:w="4537"/>
        <w:gridCol w:w="3118"/>
      </w:tblGrid>
      <w:tr w:rsidR="00F54F1F" w:rsidRPr="003A6D7B" w14:paraId="4F2B5AA5" w14:textId="77777777" w:rsidTr="00876CCD">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4536" w:type="dxa"/>
            <w:tcBorders>
              <w:left w:val="none" w:sz="0" w:space="0" w:color="auto"/>
              <w:right w:val="none" w:sz="0" w:space="0" w:color="auto"/>
            </w:tcBorders>
            <w:tcMar>
              <w:left w:w="0" w:type="dxa"/>
              <w:right w:w="0" w:type="dxa"/>
            </w:tcMar>
            <w:vAlign w:val="center"/>
          </w:tcPr>
          <w:p w14:paraId="3E2C9A94" w14:textId="64942924" w:rsidR="00F54F1F" w:rsidRPr="003A6D7B" w:rsidRDefault="00F54F1F" w:rsidP="00876CCD">
            <w:pPr>
              <w:rPr>
                <w:rFonts w:ascii="Times New Roman" w:hAnsi="Times New Roman" w:cs="Times New Roman"/>
                <w:b w:val="0"/>
                <w:sz w:val="24"/>
                <w:szCs w:val="24"/>
                <w:lang w:val="hr-HR"/>
              </w:rPr>
            </w:pPr>
            <w:bookmarkStart w:id="0" w:name="_Toc480617697"/>
            <w:r w:rsidRPr="003A6D7B">
              <w:rPr>
                <w:rFonts w:ascii="Times New Roman" w:hAnsi="Times New Roman" w:cs="Times New Roman"/>
                <w:b w:val="0"/>
                <w:sz w:val="24"/>
                <w:szCs w:val="24"/>
                <w:lang w:val="hr-HR"/>
              </w:rPr>
              <w:lastRenderedPageBreak/>
              <w:t xml:space="preserve">Urbroj: </w:t>
            </w:r>
            <w:bookmarkEnd w:id="0"/>
            <w:r w:rsidR="00ED6D0D" w:rsidRPr="003A6D7B">
              <w:rPr>
                <w:rFonts w:ascii="Times New Roman" w:hAnsi="Times New Roman" w:cs="Times New Roman"/>
                <w:b w:val="0"/>
                <w:sz w:val="24"/>
                <w:szCs w:val="24"/>
                <w:lang w:val="hr-HR"/>
              </w:rPr>
              <w:t>1-2/22-1-7/3</w:t>
            </w:r>
          </w:p>
        </w:tc>
        <w:tc>
          <w:tcPr>
            <w:tcW w:w="3118" w:type="dxa"/>
            <w:tcBorders>
              <w:left w:val="none" w:sz="0" w:space="0" w:color="auto"/>
              <w:right w:val="none" w:sz="0" w:space="0" w:color="auto"/>
            </w:tcBorders>
            <w:tcMar>
              <w:left w:w="0" w:type="dxa"/>
              <w:right w:w="0" w:type="dxa"/>
            </w:tcMar>
            <w:vAlign w:val="center"/>
          </w:tcPr>
          <w:p w14:paraId="5032FD47" w14:textId="09762C6D" w:rsidR="00F54F1F" w:rsidRPr="003A6D7B" w:rsidRDefault="00F54F1F" w:rsidP="00876CCD">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hr-HR"/>
              </w:rPr>
            </w:pPr>
            <w:bookmarkStart w:id="1" w:name="_Toc480617698"/>
            <w:r w:rsidRPr="003A6D7B">
              <w:rPr>
                <w:rFonts w:ascii="Times New Roman" w:hAnsi="Times New Roman" w:cs="Times New Roman"/>
                <w:b w:val="0"/>
                <w:sz w:val="24"/>
                <w:szCs w:val="24"/>
                <w:lang w:val="hr-HR"/>
              </w:rPr>
              <w:t xml:space="preserve">Zagreb, </w:t>
            </w:r>
            <w:r w:rsidR="00384EBE">
              <w:rPr>
                <w:rFonts w:ascii="Times New Roman" w:hAnsi="Times New Roman" w:cs="Times New Roman"/>
                <w:b w:val="0"/>
                <w:sz w:val="24"/>
                <w:szCs w:val="24"/>
                <w:lang w:val="hr-HR"/>
              </w:rPr>
              <w:t>ožujak</w:t>
            </w:r>
            <w:r w:rsidR="009B58A3" w:rsidRPr="003A6D7B">
              <w:rPr>
                <w:rFonts w:ascii="Times New Roman" w:hAnsi="Times New Roman" w:cs="Times New Roman"/>
                <w:b w:val="0"/>
                <w:sz w:val="24"/>
                <w:szCs w:val="24"/>
                <w:lang w:val="hr-HR"/>
              </w:rPr>
              <w:t xml:space="preserve"> </w:t>
            </w:r>
            <w:r w:rsidRPr="003A6D7B">
              <w:rPr>
                <w:rFonts w:ascii="Times New Roman" w:hAnsi="Times New Roman" w:cs="Times New Roman"/>
                <w:b w:val="0"/>
                <w:sz w:val="24"/>
                <w:szCs w:val="24"/>
                <w:lang w:val="hr-HR"/>
              </w:rPr>
              <w:t>202</w:t>
            </w:r>
            <w:r w:rsidR="00384EBE">
              <w:rPr>
                <w:rFonts w:ascii="Times New Roman" w:hAnsi="Times New Roman" w:cs="Times New Roman"/>
                <w:b w:val="0"/>
                <w:sz w:val="24"/>
                <w:szCs w:val="24"/>
                <w:lang w:val="hr-HR"/>
              </w:rPr>
              <w:t>3</w:t>
            </w:r>
            <w:bookmarkStart w:id="2" w:name="_GoBack"/>
            <w:bookmarkEnd w:id="2"/>
            <w:r w:rsidRPr="003A6D7B">
              <w:rPr>
                <w:rFonts w:ascii="Times New Roman" w:hAnsi="Times New Roman" w:cs="Times New Roman"/>
                <w:b w:val="0"/>
                <w:sz w:val="24"/>
                <w:szCs w:val="24"/>
                <w:lang w:val="hr-HR"/>
              </w:rPr>
              <w:t>.</w:t>
            </w:r>
            <w:bookmarkEnd w:id="1"/>
          </w:p>
        </w:tc>
      </w:tr>
    </w:tbl>
    <w:p w14:paraId="5A898D90" w14:textId="336B4BBA" w:rsidR="00F54F1F" w:rsidRPr="003A6D7B" w:rsidRDefault="00F54F1F" w:rsidP="00F54F1F">
      <w:pPr>
        <w:jc w:val="left"/>
        <w:rPr>
          <w:rFonts w:ascii="Times New Roman" w:hAnsi="Times New Roman" w:cs="Times New Roman"/>
          <w:sz w:val="20"/>
          <w:szCs w:val="20"/>
        </w:rPr>
      </w:pPr>
    </w:p>
    <w:p w14:paraId="3B0BDC0A" w14:textId="15FF71D4" w:rsidR="004812D3" w:rsidRPr="003A6D7B" w:rsidRDefault="004812D3" w:rsidP="004812D3">
      <w:pPr>
        <w:pStyle w:val="Style1"/>
        <w:rPr>
          <w:rFonts w:ascii="Times New Roman" w:hAnsi="Times New Roman" w:cs="Times New Roman"/>
          <w:sz w:val="44"/>
          <w:szCs w:val="44"/>
        </w:rPr>
      </w:pPr>
      <w:r w:rsidRPr="003A6D7B">
        <w:rPr>
          <w:rFonts w:ascii="Times New Roman" w:hAnsi="Times New Roman" w:cs="Times New Roman"/>
          <w:sz w:val="44"/>
          <w:szCs w:val="44"/>
        </w:rPr>
        <w:t>Sadržaj</w:t>
      </w:r>
    </w:p>
    <w:p w14:paraId="03BE8DE3" w14:textId="77777777" w:rsidR="00941532" w:rsidRPr="001342D0" w:rsidRDefault="00941532" w:rsidP="004812D3">
      <w:pPr>
        <w:pStyle w:val="Style1"/>
        <w:rPr>
          <w:rFonts w:ascii="Times New Roman" w:hAnsi="Times New Roman" w:cs="Times New Roman"/>
          <w:sz w:val="24"/>
          <w:szCs w:val="24"/>
        </w:rPr>
      </w:pPr>
    </w:p>
    <w:p w14:paraId="3D67520D" w14:textId="6B4C7436" w:rsidR="00CD290C" w:rsidRPr="001342D0" w:rsidRDefault="004812D3" w:rsidP="00CD290C">
      <w:pPr>
        <w:pStyle w:val="TOC1"/>
        <w:rPr>
          <w:rFonts w:ascii="Times New Roman" w:hAnsi="Times New Roman" w:cs="Times New Roman"/>
          <w:noProof/>
          <w:color w:val="auto"/>
          <w:lang w:eastAsia="hr-HR"/>
        </w:rPr>
      </w:pPr>
      <w:r w:rsidRPr="001342D0">
        <w:rPr>
          <w:rFonts w:ascii="Times New Roman" w:hAnsi="Times New Roman" w:cs="Times New Roman"/>
          <w:sz w:val="24"/>
          <w:szCs w:val="24"/>
        </w:rPr>
        <w:fldChar w:fldCharType="begin"/>
      </w:r>
      <w:r w:rsidRPr="001342D0">
        <w:rPr>
          <w:rFonts w:ascii="Times New Roman" w:hAnsi="Times New Roman" w:cs="Times New Roman"/>
          <w:sz w:val="24"/>
          <w:szCs w:val="24"/>
        </w:rPr>
        <w:instrText xml:space="preserve"> TOC \o "1-3" \u </w:instrText>
      </w:r>
      <w:r w:rsidRPr="001342D0">
        <w:rPr>
          <w:rFonts w:ascii="Times New Roman" w:hAnsi="Times New Roman" w:cs="Times New Roman"/>
          <w:sz w:val="24"/>
          <w:szCs w:val="24"/>
        </w:rPr>
        <w:fldChar w:fldCharType="separate"/>
      </w:r>
      <w:r w:rsidR="00CD290C" w:rsidRPr="001342D0">
        <w:rPr>
          <w:rFonts w:ascii="Times New Roman" w:hAnsi="Times New Roman" w:cs="Times New Roman"/>
          <w:noProof/>
        </w:rPr>
        <w:t>1</w:t>
      </w:r>
      <w:r w:rsidR="00CD290C" w:rsidRPr="001342D0">
        <w:rPr>
          <w:rFonts w:ascii="Times New Roman" w:hAnsi="Times New Roman" w:cs="Times New Roman"/>
          <w:noProof/>
          <w:color w:val="auto"/>
          <w:lang w:eastAsia="hr-HR"/>
        </w:rPr>
        <w:tab/>
      </w:r>
      <w:r w:rsidR="00CD290C" w:rsidRPr="001342D0">
        <w:rPr>
          <w:rFonts w:ascii="Times New Roman" w:hAnsi="Times New Roman" w:cs="Times New Roman"/>
          <w:noProof/>
        </w:rPr>
        <w:t>Pravni okvir, djelatnost i financiranje Fonda</w:t>
      </w:r>
      <w:r w:rsidR="00CD290C" w:rsidRPr="001342D0">
        <w:rPr>
          <w:rFonts w:ascii="Times New Roman" w:hAnsi="Times New Roman" w:cs="Times New Roman"/>
          <w:noProof/>
        </w:rPr>
        <w:tab/>
      </w:r>
      <w:r w:rsidR="00CD290C" w:rsidRPr="001342D0">
        <w:rPr>
          <w:rFonts w:ascii="Times New Roman" w:hAnsi="Times New Roman" w:cs="Times New Roman"/>
          <w:noProof/>
        </w:rPr>
        <w:fldChar w:fldCharType="begin"/>
      </w:r>
      <w:r w:rsidR="00CD290C" w:rsidRPr="001342D0">
        <w:rPr>
          <w:rFonts w:ascii="Times New Roman" w:hAnsi="Times New Roman" w:cs="Times New Roman"/>
          <w:noProof/>
        </w:rPr>
        <w:instrText xml:space="preserve"> PAGEREF _Toc130809342 \h </w:instrText>
      </w:r>
      <w:r w:rsidR="00CD290C" w:rsidRPr="001342D0">
        <w:rPr>
          <w:rFonts w:ascii="Times New Roman" w:hAnsi="Times New Roman" w:cs="Times New Roman"/>
          <w:noProof/>
        </w:rPr>
      </w:r>
      <w:r w:rsidR="00CD290C" w:rsidRPr="001342D0">
        <w:rPr>
          <w:rFonts w:ascii="Times New Roman" w:hAnsi="Times New Roman" w:cs="Times New Roman"/>
          <w:noProof/>
        </w:rPr>
        <w:fldChar w:fldCharType="separate"/>
      </w:r>
      <w:r w:rsidR="00CD290C" w:rsidRPr="001342D0">
        <w:rPr>
          <w:rFonts w:ascii="Times New Roman" w:hAnsi="Times New Roman" w:cs="Times New Roman"/>
          <w:noProof/>
        </w:rPr>
        <w:t>3</w:t>
      </w:r>
      <w:r w:rsidR="00CD290C" w:rsidRPr="001342D0">
        <w:rPr>
          <w:rFonts w:ascii="Times New Roman" w:hAnsi="Times New Roman" w:cs="Times New Roman"/>
          <w:noProof/>
        </w:rPr>
        <w:fldChar w:fldCharType="end"/>
      </w:r>
    </w:p>
    <w:p w14:paraId="3FC37F42" w14:textId="76D9A998" w:rsidR="00CD290C" w:rsidRPr="001342D0" w:rsidRDefault="00CD290C" w:rsidP="00CD290C">
      <w:pPr>
        <w:pStyle w:val="TOC1"/>
        <w:rPr>
          <w:rFonts w:ascii="Times New Roman" w:hAnsi="Times New Roman" w:cs="Times New Roman"/>
          <w:noProof/>
          <w:color w:val="auto"/>
          <w:lang w:eastAsia="hr-HR"/>
        </w:rPr>
      </w:pPr>
      <w:r w:rsidRPr="001342D0">
        <w:rPr>
          <w:rFonts w:ascii="Times New Roman" w:hAnsi="Times New Roman" w:cs="Times New Roman"/>
          <w:noProof/>
        </w:rPr>
        <w:t>2</w:t>
      </w:r>
      <w:r w:rsidRPr="001342D0">
        <w:rPr>
          <w:rFonts w:ascii="Times New Roman" w:hAnsi="Times New Roman" w:cs="Times New Roman"/>
          <w:noProof/>
          <w:color w:val="auto"/>
          <w:lang w:eastAsia="hr-HR"/>
        </w:rPr>
        <w:tab/>
      </w:r>
      <w:r w:rsidRPr="001342D0">
        <w:rPr>
          <w:rFonts w:ascii="Times New Roman" w:hAnsi="Times New Roman" w:cs="Times New Roman"/>
          <w:noProof/>
        </w:rPr>
        <w:t>Program rada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_Toc130809343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7</w:t>
      </w:r>
      <w:r w:rsidRPr="001342D0">
        <w:rPr>
          <w:rFonts w:ascii="Times New Roman" w:hAnsi="Times New Roman" w:cs="Times New Roman"/>
          <w:noProof/>
        </w:rPr>
        <w:fldChar w:fldCharType="end"/>
      </w:r>
    </w:p>
    <w:p w14:paraId="49F5EC34" w14:textId="555ACA04"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2.1</w:t>
      </w:r>
      <w:r w:rsidRPr="001342D0">
        <w:rPr>
          <w:rFonts w:ascii="Times New Roman" w:hAnsi="Times New Roman" w:cs="Times New Roman"/>
          <w:noProof/>
          <w:color w:val="auto"/>
          <w:lang w:eastAsia="hr-HR"/>
        </w:rPr>
        <w:tab/>
      </w:r>
      <w:r w:rsidRPr="001342D0">
        <w:rPr>
          <w:rFonts w:ascii="Times New Roman" w:hAnsi="Times New Roman" w:cs="Times New Roman"/>
          <w:noProof/>
        </w:rPr>
        <w:t>Upravljanje financijskom imovinom Fonda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_Toc130809344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7</w:t>
      </w:r>
      <w:r w:rsidRPr="001342D0">
        <w:rPr>
          <w:rFonts w:ascii="Times New Roman" w:hAnsi="Times New Roman" w:cs="Times New Roman"/>
          <w:noProof/>
        </w:rPr>
        <w:fldChar w:fldCharType="end"/>
      </w:r>
    </w:p>
    <w:p w14:paraId="7A736FF0" w14:textId="1B6AB9CE"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2.2</w:t>
      </w:r>
      <w:r w:rsidRPr="001342D0">
        <w:rPr>
          <w:rFonts w:ascii="Times New Roman" w:hAnsi="Times New Roman" w:cs="Times New Roman"/>
          <w:noProof/>
          <w:color w:val="auto"/>
          <w:lang w:eastAsia="hr-HR"/>
        </w:rPr>
        <w:tab/>
      </w:r>
      <w:r w:rsidRPr="001342D0">
        <w:rPr>
          <w:rFonts w:ascii="Times New Roman" w:hAnsi="Times New Roman" w:cs="Times New Roman"/>
          <w:noProof/>
        </w:rPr>
        <w:t>Revizija Programa razgradnje i Programa odlaganja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_Toc130809345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8</w:t>
      </w:r>
      <w:r w:rsidRPr="001342D0">
        <w:rPr>
          <w:rFonts w:ascii="Times New Roman" w:hAnsi="Times New Roman" w:cs="Times New Roman"/>
          <w:noProof/>
        </w:rPr>
        <w:fldChar w:fldCharType="end"/>
      </w:r>
    </w:p>
    <w:p w14:paraId="399A3D5A" w14:textId="3AE61BCE"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2.2.1</w:t>
      </w:r>
      <w:r w:rsidRPr="001342D0">
        <w:rPr>
          <w:rFonts w:ascii="Times New Roman" w:hAnsi="Times New Roman" w:cs="Times New Roman"/>
          <w:noProof/>
          <w:color w:val="auto"/>
          <w:lang w:eastAsia="hr-HR"/>
        </w:rPr>
        <w:tab/>
      </w:r>
      <w:r w:rsidRPr="001342D0">
        <w:rPr>
          <w:rFonts w:ascii="Times New Roman" w:hAnsi="Times New Roman" w:cs="Times New Roman"/>
          <w:noProof/>
        </w:rPr>
        <w:t>Provedba Treće revizije</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_Toc130809346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9</w:t>
      </w:r>
      <w:r w:rsidRPr="001342D0">
        <w:rPr>
          <w:rFonts w:ascii="Times New Roman" w:hAnsi="Times New Roman" w:cs="Times New Roman"/>
          <w:noProof/>
        </w:rPr>
        <w:fldChar w:fldCharType="end"/>
      </w:r>
    </w:p>
    <w:p w14:paraId="6D308693" w14:textId="4B8D2532"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2.2.2</w:t>
      </w:r>
      <w:r w:rsidRPr="001342D0">
        <w:rPr>
          <w:rFonts w:ascii="Times New Roman" w:hAnsi="Times New Roman" w:cs="Times New Roman"/>
          <w:noProof/>
          <w:color w:val="auto"/>
          <w:lang w:eastAsia="hr-HR"/>
        </w:rPr>
        <w:tab/>
      </w:r>
      <w:r w:rsidRPr="001342D0">
        <w:rPr>
          <w:rFonts w:ascii="Times New Roman" w:hAnsi="Times New Roman" w:cs="Times New Roman"/>
          <w:noProof/>
        </w:rPr>
        <w:t>Priprema Četvrte revizije</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_Toc130809347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9</w:t>
      </w:r>
      <w:r w:rsidRPr="001342D0">
        <w:rPr>
          <w:rFonts w:ascii="Times New Roman" w:hAnsi="Times New Roman" w:cs="Times New Roman"/>
          <w:noProof/>
        </w:rPr>
        <w:fldChar w:fldCharType="end"/>
      </w:r>
    </w:p>
    <w:p w14:paraId="79A7B048" w14:textId="76F9111F"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2.3</w:t>
      </w:r>
      <w:r w:rsidRPr="001342D0">
        <w:rPr>
          <w:rFonts w:ascii="Times New Roman" w:hAnsi="Times New Roman" w:cs="Times New Roman"/>
          <w:noProof/>
          <w:color w:val="auto"/>
          <w:lang w:eastAsia="hr-HR"/>
        </w:rPr>
        <w:tab/>
      </w:r>
      <w:r w:rsidRPr="001342D0">
        <w:rPr>
          <w:rFonts w:ascii="Times New Roman" w:hAnsi="Times New Roman" w:cs="Times New Roman"/>
          <w:noProof/>
        </w:rPr>
        <w:t>Provedba Nacionalnog programa i Strategije</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_Toc130809348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10</w:t>
      </w:r>
      <w:r w:rsidRPr="001342D0">
        <w:rPr>
          <w:rFonts w:ascii="Times New Roman" w:hAnsi="Times New Roman" w:cs="Times New Roman"/>
          <w:noProof/>
        </w:rPr>
        <w:fldChar w:fldCharType="end"/>
      </w:r>
    </w:p>
    <w:p w14:paraId="3122B62A" w14:textId="28D7CB89"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2.4</w:t>
      </w:r>
      <w:r w:rsidRPr="001342D0">
        <w:rPr>
          <w:rFonts w:ascii="Times New Roman" w:hAnsi="Times New Roman" w:cs="Times New Roman"/>
          <w:noProof/>
          <w:color w:val="auto"/>
          <w:lang w:eastAsia="hr-HR"/>
        </w:rPr>
        <w:tab/>
      </w:r>
      <w:r w:rsidRPr="001342D0">
        <w:rPr>
          <w:rFonts w:ascii="Times New Roman" w:hAnsi="Times New Roman" w:cs="Times New Roman"/>
          <w:noProof/>
        </w:rPr>
        <w:t>Uspostava Centra za zbrinjavanje radioaktivnog otpada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_Toc130809349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10</w:t>
      </w:r>
      <w:r w:rsidRPr="001342D0">
        <w:rPr>
          <w:rFonts w:ascii="Times New Roman" w:hAnsi="Times New Roman" w:cs="Times New Roman"/>
          <w:noProof/>
        </w:rPr>
        <w:fldChar w:fldCharType="end"/>
      </w:r>
    </w:p>
    <w:p w14:paraId="1BB3346A" w14:textId="2A4BB0A1"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2.4.1</w:t>
      </w:r>
      <w:r w:rsidRPr="001342D0">
        <w:rPr>
          <w:rFonts w:ascii="Times New Roman" w:hAnsi="Times New Roman" w:cs="Times New Roman"/>
          <w:noProof/>
          <w:color w:val="auto"/>
          <w:lang w:eastAsia="hr-HR"/>
        </w:rPr>
        <w:tab/>
      </w:r>
      <w:r w:rsidRPr="001342D0">
        <w:rPr>
          <w:rFonts w:ascii="Times New Roman" w:hAnsi="Times New Roman" w:cs="Times New Roman"/>
          <w:noProof/>
        </w:rPr>
        <w:t>Prostorno-planerske i imovinsko pravne aktivnosti radi usklađivanja zahvata s dokumentom prostornog uređenja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_Toc130809350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11</w:t>
      </w:r>
      <w:r w:rsidRPr="001342D0">
        <w:rPr>
          <w:rFonts w:ascii="Times New Roman" w:hAnsi="Times New Roman" w:cs="Times New Roman"/>
          <w:noProof/>
        </w:rPr>
        <w:fldChar w:fldCharType="end"/>
      </w:r>
    </w:p>
    <w:p w14:paraId="44EE811A" w14:textId="52A5F90F"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2.4.2</w:t>
      </w:r>
      <w:r w:rsidRPr="001342D0">
        <w:rPr>
          <w:rFonts w:ascii="Times New Roman" w:hAnsi="Times New Roman" w:cs="Times New Roman"/>
          <w:noProof/>
          <w:color w:val="auto"/>
          <w:lang w:eastAsia="hr-HR"/>
        </w:rPr>
        <w:tab/>
      </w:r>
      <w:r w:rsidRPr="001342D0">
        <w:rPr>
          <w:rFonts w:ascii="Times New Roman" w:hAnsi="Times New Roman" w:cs="Times New Roman"/>
          <w:noProof/>
        </w:rPr>
        <w:t>Istraživanja i mjerenja na lokaciji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_Toc130809351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12</w:t>
      </w:r>
      <w:r w:rsidRPr="001342D0">
        <w:rPr>
          <w:rFonts w:ascii="Times New Roman" w:hAnsi="Times New Roman" w:cs="Times New Roman"/>
          <w:noProof/>
        </w:rPr>
        <w:fldChar w:fldCharType="end"/>
      </w:r>
    </w:p>
    <w:p w14:paraId="0CDB9DF0" w14:textId="1124AF1B"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2.4.3</w:t>
      </w:r>
      <w:r w:rsidRPr="001342D0">
        <w:rPr>
          <w:rFonts w:ascii="Times New Roman" w:hAnsi="Times New Roman" w:cs="Times New Roman"/>
          <w:noProof/>
          <w:color w:val="auto"/>
          <w:lang w:eastAsia="hr-HR"/>
        </w:rPr>
        <w:tab/>
      </w:r>
      <w:r w:rsidRPr="001342D0">
        <w:rPr>
          <w:rFonts w:ascii="Times New Roman" w:hAnsi="Times New Roman" w:cs="Times New Roman"/>
          <w:noProof/>
        </w:rPr>
        <w:t>Aktivnosti i dokumentacija  za projektiranje, analizu sigurnosti i procjenu utjecaja na okoliš</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_Toc130809352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12</w:t>
      </w:r>
      <w:r w:rsidRPr="001342D0">
        <w:rPr>
          <w:rFonts w:ascii="Times New Roman" w:hAnsi="Times New Roman" w:cs="Times New Roman"/>
          <w:noProof/>
        </w:rPr>
        <w:fldChar w:fldCharType="end"/>
      </w:r>
    </w:p>
    <w:p w14:paraId="6046AB58" w14:textId="217CD8C7"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2.4.4</w:t>
      </w:r>
      <w:r w:rsidRPr="001342D0">
        <w:rPr>
          <w:rFonts w:ascii="Times New Roman" w:hAnsi="Times New Roman" w:cs="Times New Roman"/>
          <w:noProof/>
          <w:color w:val="auto"/>
          <w:lang w:eastAsia="hr-HR"/>
        </w:rPr>
        <w:tab/>
      </w:r>
      <w:r w:rsidRPr="001342D0">
        <w:rPr>
          <w:rFonts w:ascii="Times New Roman" w:hAnsi="Times New Roman" w:cs="Times New Roman"/>
          <w:noProof/>
        </w:rPr>
        <w:t>Opći poslovi uspostave Centra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_Toc130809353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12</w:t>
      </w:r>
      <w:r w:rsidRPr="001342D0">
        <w:rPr>
          <w:rFonts w:ascii="Times New Roman" w:hAnsi="Times New Roman" w:cs="Times New Roman"/>
          <w:noProof/>
        </w:rPr>
        <w:fldChar w:fldCharType="end"/>
      </w:r>
    </w:p>
    <w:p w14:paraId="122840CA" w14:textId="249D5269"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2.5</w:t>
      </w:r>
      <w:r w:rsidRPr="001342D0">
        <w:rPr>
          <w:rFonts w:ascii="Times New Roman" w:hAnsi="Times New Roman" w:cs="Times New Roman"/>
          <w:noProof/>
          <w:color w:val="auto"/>
          <w:lang w:eastAsia="hr-HR"/>
        </w:rPr>
        <w:tab/>
      </w:r>
      <w:r w:rsidRPr="001342D0">
        <w:rPr>
          <w:rFonts w:ascii="Times New Roman" w:hAnsi="Times New Roman" w:cs="Times New Roman"/>
          <w:noProof/>
        </w:rPr>
        <w:t>Zbrinjavanje IRAO i II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_Toc130809354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13</w:t>
      </w:r>
      <w:r w:rsidRPr="001342D0">
        <w:rPr>
          <w:rFonts w:ascii="Times New Roman" w:hAnsi="Times New Roman" w:cs="Times New Roman"/>
          <w:noProof/>
        </w:rPr>
        <w:fldChar w:fldCharType="end"/>
      </w:r>
    </w:p>
    <w:p w14:paraId="2D4A357D" w14:textId="48D58AC8"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2.6</w:t>
      </w:r>
      <w:r w:rsidRPr="001342D0">
        <w:rPr>
          <w:rFonts w:ascii="Times New Roman" w:hAnsi="Times New Roman" w:cs="Times New Roman"/>
          <w:noProof/>
          <w:color w:val="auto"/>
          <w:lang w:eastAsia="hr-HR"/>
        </w:rPr>
        <w:tab/>
      </w:r>
      <w:r w:rsidRPr="001342D0">
        <w:rPr>
          <w:rFonts w:ascii="Times New Roman" w:hAnsi="Times New Roman" w:cs="Times New Roman"/>
          <w:noProof/>
        </w:rPr>
        <w:t>Preuzimanje NSRAO-a iz NE Krško</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_Toc130809355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13</w:t>
      </w:r>
      <w:r w:rsidRPr="001342D0">
        <w:rPr>
          <w:rFonts w:ascii="Times New Roman" w:hAnsi="Times New Roman" w:cs="Times New Roman"/>
          <w:noProof/>
        </w:rPr>
        <w:fldChar w:fldCharType="end"/>
      </w:r>
    </w:p>
    <w:p w14:paraId="12F2C76B" w14:textId="5DA933D9"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2.7</w:t>
      </w:r>
      <w:r w:rsidRPr="001342D0">
        <w:rPr>
          <w:rFonts w:ascii="Times New Roman" w:hAnsi="Times New Roman" w:cs="Times New Roman"/>
          <w:noProof/>
          <w:color w:val="auto"/>
          <w:lang w:eastAsia="hr-HR"/>
        </w:rPr>
        <w:tab/>
      </w:r>
      <w:r w:rsidRPr="001342D0">
        <w:rPr>
          <w:rFonts w:ascii="Times New Roman" w:hAnsi="Times New Roman" w:cs="Times New Roman"/>
          <w:noProof/>
        </w:rPr>
        <w:t>Edukacija i razvoj ljudskih potencijala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_Toc130809356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14</w:t>
      </w:r>
      <w:r w:rsidRPr="001342D0">
        <w:rPr>
          <w:rFonts w:ascii="Times New Roman" w:hAnsi="Times New Roman" w:cs="Times New Roman"/>
          <w:noProof/>
        </w:rPr>
        <w:fldChar w:fldCharType="end"/>
      </w:r>
    </w:p>
    <w:p w14:paraId="06D90088" w14:textId="5C2CED34"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2.8</w:t>
      </w:r>
      <w:r w:rsidRPr="001342D0">
        <w:rPr>
          <w:rFonts w:ascii="Times New Roman" w:hAnsi="Times New Roman" w:cs="Times New Roman"/>
          <w:noProof/>
          <w:color w:val="auto"/>
          <w:lang w:eastAsia="hr-HR"/>
        </w:rPr>
        <w:tab/>
      </w:r>
      <w:r w:rsidRPr="001342D0">
        <w:rPr>
          <w:rFonts w:ascii="Times New Roman" w:hAnsi="Times New Roman" w:cs="Times New Roman"/>
          <w:noProof/>
        </w:rPr>
        <w:t>Odnosi s javnošću</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_Toc130809357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15</w:t>
      </w:r>
      <w:r w:rsidRPr="001342D0">
        <w:rPr>
          <w:rFonts w:ascii="Times New Roman" w:hAnsi="Times New Roman" w:cs="Times New Roman"/>
          <w:noProof/>
        </w:rPr>
        <w:fldChar w:fldCharType="end"/>
      </w:r>
    </w:p>
    <w:p w14:paraId="4DF61EC6" w14:textId="1855C810"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2.8.1</w:t>
      </w:r>
      <w:r w:rsidRPr="001342D0">
        <w:rPr>
          <w:rFonts w:ascii="Times New Roman" w:hAnsi="Times New Roman" w:cs="Times New Roman"/>
          <w:noProof/>
          <w:color w:val="auto"/>
          <w:lang w:eastAsia="hr-HR"/>
        </w:rPr>
        <w:tab/>
      </w:r>
      <w:r w:rsidRPr="001342D0">
        <w:rPr>
          <w:rFonts w:ascii="Times New Roman" w:hAnsi="Times New Roman" w:cs="Times New Roman"/>
          <w:noProof/>
        </w:rPr>
        <w:t>Socijalno-gospodarski aspekti razvoja lokalne zajednice</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_Toc130809358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15</w:t>
      </w:r>
      <w:r w:rsidRPr="001342D0">
        <w:rPr>
          <w:rFonts w:ascii="Times New Roman" w:hAnsi="Times New Roman" w:cs="Times New Roman"/>
          <w:noProof/>
        </w:rPr>
        <w:fldChar w:fldCharType="end"/>
      </w:r>
    </w:p>
    <w:p w14:paraId="760762B3" w14:textId="6A7CDAB8"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2.8.2</w:t>
      </w:r>
      <w:r w:rsidRPr="001342D0">
        <w:rPr>
          <w:rFonts w:ascii="Times New Roman" w:hAnsi="Times New Roman" w:cs="Times New Roman"/>
          <w:noProof/>
          <w:color w:val="auto"/>
          <w:lang w:eastAsia="hr-HR"/>
        </w:rPr>
        <w:tab/>
      </w:r>
      <w:r w:rsidRPr="001342D0">
        <w:rPr>
          <w:rFonts w:ascii="Times New Roman" w:hAnsi="Times New Roman" w:cs="Times New Roman"/>
          <w:noProof/>
        </w:rPr>
        <w:t>Promotivne i informativno-edukativne aktivnosti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_Toc130809359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15</w:t>
      </w:r>
      <w:r w:rsidRPr="001342D0">
        <w:rPr>
          <w:rFonts w:ascii="Times New Roman" w:hAnsi="Times New Roman" w:cs="Times New Roman"/>
          <w:noProof/>
        </w:rPr>
        <w:fldChar w:fldCharType="end"/>
      </w:r>
    </w:p>
    <w:p w14:paraId="146265E4" w14:textId="562055FF"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2.8.3</w:t>
      </w:r>
      <w:r w:rsidRPr="001342D0">
        <w:rPr>
          <w:rFonts w:ascii="Times New Roman" w:hAnsi="Times New Roman" w:cs="Times New Roman"/>
          <w:noProof/>
          <w:color w:val="auto"/>
          <w:lang w:eastAsia="hr-HR"/>
        </w:rPr>
        <w:tab/>
      </w:r>
      <w:r w:rsidRPr="001342D0">
        <w:rPr>
          <w:rFonts w:ascii="Times New Roman" w:hAnsi="Times New Roman" w:cs="Times New Roman"/>
          <w:noProof/>
        </w:rPr>
        <w:t>Uspostava i održavanje centara za informiranje javnosti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_Toc130809360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16</w:t>
      </w:r>
      <w:r w:rsidRPr="001342D0">
        <w:rPr>
          <w:rFonts w:ascii="Times New Roman" w:hAnsi="Times New Roman" w:cs="Times New Roman"/>
          <w:noProof/>
        </w:rPr>
        <w:fldChar w:fldCharType="end"/>
      </w:r>
    </w:p>
    <w:p w14:paraId="1DEB8EDB" w14:textId="18C1C7EC"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2.8.4</w:t>
      </w:r>
      <w:r w:rsidRPr="001342D0">
        <w:rPr>
          <w:rFonts w:ascii="Times New Roman" w:hAnsi="Times New Roman" w:cs="Times New Roman"/>
          <w:noProof/>
          <w:color w:val="auto"/>
          <w:lang w:eastAsia="hr-HR"/>
        </w:rPr>
        <w:tab/>
      </w:r>
      <w:r w:rsidRPr="001342D0">
        <w:rPr>
          <w:rFonts w:ascii="Times New Roman" w:hAnsi="Times New Roman" w:cs="Times New Roman"/>
          <w:noProof/>
        </w:rPr>
        <w:t>Praćenje i analiza medija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_Toc130809361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16</w:t>
      </w:r>
      <w:r w:rsidRPr="001342D0">
        <w:rPr>
          <w:rFonts w:ascii="Times New Roman" w:hAnsi="Times New Roman" w:cs="Times New Roman"/>
          <w:noProof/>
        </w:rPr>
        <w:fldChar w:fldCharType="end"/>
      </w:r>
    </w:p>
    <w:p w14:paraId="70D435C8" w14:textId="37AC275E"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2.8.5</w:t>
      </w:r>
      <w:r w:rsidRPr="001342D0">
        <w:rPr>
          <w:rFonts w:ascii="Times New Roman" w:hAnsi="Times New Roman" w:cs="Times New Roman"/>
          <w:noProof/>
          <w:color w:val="auto"/>
          <w:lang w:eastAsia="hr-HR"/>
        </w:rPr>
        <w:tab/>
      </w:r>
      <w:r w:rsidRPr="001342D0">
        <w:rPr>
          <w:rFonts w:ascii="Times New Roman" w:hAnsi="Times New Roman" w:cs="Times New Roman"/>
          <w:noProof/>
        </w:rPr>
        <w:t>Financijska podrška lokalnoj zajednici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_Toc130809362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16</w:t>
      </w:r>
      <w:r w:rsidRPr="001342D0">
        <w:rPr>
          <w:rFonts w:ascii="Times New Roman" w:hAnsi="Times New Roman" w:cs="Times New Roman"/>
          <w:noProof/>
        </w:rPr>
        <w:fldChar w:fldCharType="end"/>
      </w:r>
    </w:p>
    <w:p w14:paraId="18202BC6" w14:textId="436217F2"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lastRenderedPageBreak/>
        <w:t>2.9</w:t>
      </w:r>
      <w:r w:rsidRPr="001342D0">
        <w:rPr>
          <w:rFonts w:ascii="Times New Roman" w:hAnsi="Times New Roman" w:cs="Times New Roman"/>
          <w:noProof/>
          <w:color w:val="auto"/>
          <w:lang w:eastAsia="hr-HR"/>
        </w:rPr>
        <w:tab/>
      </w:r>
      <w:r w:rsidRPr="001342D0">
        <w:rPr>
          <w:rFonts w:ascii="Times New Roman" w:hAnsi="Times New Roman" w:cs="Times New Roman"/>
          <w:noProof/>
        </w:rPr>
        <w:t>Tablični prikaz planiranih troškova i investicija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_Toc130809363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17</w:t>
      </w:r>
      <w:r w:rsidRPr="001342D0">
        <w:rPr>
          <w:rFonts w:ascii="Times New Roman" w:hAnsi="Times New Roman" w:cs="Times New Roman"/>
          <w:noProof/>
        </w:rPr>
        <w:fldChar w:fldCharType="end"/>
      </w:r>
    </w:p>
    <w:p w14:paraId="253C16FC" w14:textId="30EFCB78"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2.10</w:t>
      </w:r>
      <w:r w:rsidRPr="001342D0">
        <w:rPr>
          <w:rFonts w:ascii="Times New Roman" w:hAnsi="Times New Roman" w:cs="Times New Roman"/>
          <w:noProof/>
          <w:color w:val="auto"/>
          <w:lang w:eastAsia="hr-HR"/>
        </w:rPr>
        <w:tab/>
      </w:r>
      <w:r w:rsidRPr="001342D0">
        <w:rPr>
          <w:rFonts w:ascii="Times New Roman" w:hAnsi="Times New Roman" w:cs="Times New Roman"/>
          <w:noProof/>
        </w:rPr>
        <w:t>Ostali poslovi Fonda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_Toc130809364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19</w:t>
      </w:r>
      <w:r w:rsidRPr="001342D0">
        <w:rPr>
          <w:rFonts w:ascii="Times New Roman" w:hAnsi="Times New Roman" w:cs="Times New Roman"/>
          <w:noProof/>
        </w:rPr>
        <w:fldChar w:fldCharType="end"/>
      </w:r>
    </w:p>
    <w:p w14:paraId="0D4A830A" w14:textId="0B60705E" w:rsidR="00CD290C" w:rsidRPr="001342D0" w:rsidRDefault="00CD290C" w:rsidP="00CD290C">
      <w:pPr>
        <w:pStyle w:val="TOC1"/>
        <w:rPr>
          <w:rFonts w:ascii="Times New Roman" w:hAnsi="Times New Roman" w:cs="Times New Roman"/>
          <w:noProof/>
          <w:color w:val="auto"/>
          <w:lang w:eastAsia="hr-HR"/>
        </w:rPr>
      </w:pPr>
      <w:r w:rsidRPr="001342D0">
        <w:rPr>
          <w:rFonts w:ascii="Times New Roman" w:hAnsi="Times New Roman" w:cs="Times New Roman"/>
          <w:noProof/>
        </w:rPr>
        <w:t>3</w:t>
      </w:r>
      <w:r w:rsidRPr="001342D0">
        <w:rPr>
          <w:rFonts w:ascii="Times New Roman" w:hAnsi="Times New Roman" w:cs="Times New Roman"/>
          <w:noProof/>
          <w:color w:val="auto"/>
          <w:lang w:eastAsia="hr-HR"/>
        </w:rPr>
        <w:tab/>
      </w:r>
      <w:r w:rsidRPr="001342D0">
        <w:rPr>
          <w:rFonts w:ascii="Times New Roman" w:hAnsi="Times New Roman" w:cs="Times New Roman"/>
          <w:noProof/>
        </w:rPr>
        <w:t>FINANCIJSKI PLAN</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_Toc130809365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21</w:t>
      </w:r>
      <w:r w:rsidRPr="001342D0">
        <w:rPr>
          <w:rFonts w:ascii="Times New Roman" w:hAnsi="Times New Roman" w:cs="Times New Roman"/>
          <w:noProof/>
        </w:rPr>
        <w:fldChar w:fldCharType="end"/>
      </w:r>
    </w:p>
    <w:p w14:paraId="7E91C0AA" w14:textId="41DFB27F"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3.1</w:t>
      </w:r>
      <w:r w:rsidRPr="001342D0">
        <w:rPr>
          <w:rFonts w:ascii="Times New Roman" w:hAnsi="Times New Roman" w:cs="Times New Roman"/>
          <w:noProof/>
          <w:color w:val="auto"/>
          <w:lang w:eastAsia="hr-HR"/>
        </w:rPr>
        <w:tab/>
      </w:r>
      <w:r w:rsidRPr="001342D0">
        <w:rPr>
          <w:rFonts w:ascii="Times New Roman" w:hAnsi="Times New Roman" w:cs="Times New Roman"/>
          <w:noProof/>
        </w:rPr>
        <w:t>Opće smjernice za financijska ulaganja u 2023. godini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_Toc130809366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21</w:t>
      </w:r>
      <w:r w:rsidRPr="001342D0">
        <w:rPr>
          <w:rFonts w:ascii="Times New Roman" w:hAnsi="Times New Roman" w:cs="Times New Roman"/>
          <w:noProof/>
        </w:rPr>
        <w:fldChar w:fldCharType="end"/>
      </w:r>
    </w:p>
    <w:p w14:paraId="38993624" w14:textId="59D4541E" w:rsidR="00CD290C" w:rsidRPr="001342D0" w:rsidRDefault="00CD290C">
      <w:pPr>
        <w:pStyle w:val="TOC2"/>
        <w:rPr>
          <w:rFonts w:ascii="Times New Roman" w:hAnsi="Times New Roman" w:cs="Times New Roman"/>
          <w:noProof/>
          <w:color w:val="auto"/>
          <w:lang w:eastAsia="hr-HR"/>
        </w:rPr>
      </w:pPr>
      <w:r w:rsidRPr="001342D0">
        <w:rPr>
          <w:rFonts w:ascii="Times New Roman" w:hAnsi="Times New Roman" w:cs="Times New Roman"/>
          <w:noProof/>
        </w:rPr>
        <w:t>3.2</w:t>
      </w:r>
      <w:r w:rsidRPr="001342D0">
        <w:rPr>
          <w:rFonts w:ascii="Times New Roman" w:hAnsi="Times New Roman" w:cs="Times New Roman"/>
          <w:noProof/>
          <w:color w:val="auto"/>
          <w:lang w:eastAsia="hr-HR"/>
        </w:rPr>
        <w:tab/>
      </w:r>
      <w:r w:rsidRPr="001342D0">
        <w:rPr>
          <w:rFonts w:ascii="Times New Roman" w:hAnsi="Times New Roman" w:cs="Times New Roman"/>
          <w:noProof/>
        </w:rPr>
        <w:t>Plan prihoda, rashoda i neto vrijednosti imovine Fonda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_Toc130809367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24</w:t>
      </w:r>
      <w:r w:rsidRPr="001342D0">
        <w:rPr>
          <w:rFonts w:ascii="Times New Roman" w:hAnsi="Times New Roman" w:cs="Times New Roman"/>
          <w:noProof/>
        </w:rPr>
        <w:fldChar w:fldCharType="end"/>
      </w:r>
    </w:p>
    <w:p w14:paraId="68BECAA2" w14:textId="15FFCEFE"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3.2.1</w:t>
      </w:r>
      <w:r w:rsidRPr="001342D0">
        <w:rPr>
          <w:rFonts w:ascii="Times New Roman" w:hAnsi="Times New Roman" w:cs="Times New Roman"/>
          <w:noProof/>
          <w:color w:val="auto"/>
          <w:lang w:eastAsia="hr-HR"/>
        </w:rPr>
        <w:tab/>
      </w:r>
      <w:r w:rsidRPr="001342D0">
        <w:rPr>
          <w:rFonts w:ascii="Times New Roman" w:hAnsi="Times New Roman" w:cs="Times New Roman"/>
          <w:noProof/>
        </w:rPr>
        <w:t>Financijski prihodi i rashodi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_Toc130809368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24</w:t>
      </w:r>
      <w:r w:rsidRPr="001342D0">
        <w:rPr>
          <w:rFonts w:ascii="Times New Roman" w:hAnsi="Times New Roman" w:cs="Times New Roman"/>
          <w:noProof/>
        </w:rPr>
        <w:fldChar w:fldCharType="end"/>
      </w:r>
    </w:p>
    <w:p w14:paraId="7A709498" w14:textId="4F4A5D10"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3.2.2</w:t>
      </w:r>
      <w:r w:rsidRPr="001342D0">
        <w:rPr>
          <w:rFonts w:ascii="Times New Roman" w:hAnsi="Times New Roman" w:cs="Times New Roman"/>
          <w:noProof/>
          <w:color w:val="auto"/>
          <w:lang w:eastAsia="hr-HR"/>
        </w:rPr>
        <w:tab/>
      </w:r>
      <w:r w:rsidRPr="001342D0">
        <w:rPr>
          <w:rFonts w:ascii="Times New Roman" w:hAnsi="Times New Roman" w:cs="Times New Roman"/>
          <w:noProof/>
        </w:rPr>
        <w:t>RAO i ostali rashodi</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_Toc130809369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25</w:t>
      </w:r>
      <w:r w:rsidRPr="001342D0">
        <w:rPr>
          <w:rFonts w:ascii="Times New Roman" w:hAnsi="Times New Roman" w:cs="Times New Roman"/>
          <w:noProof/>
        </w:rPr>
        <w:fldChar w:fldCharType="end"/>
      </w:r>
    </w:p>
    <w:p w14:paraId="4C019310" w14:textId="015E4035"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3.2.3</w:t>
      </w:r>
      <w:r w:rsidRPr="001342D0">
        <w:rPr>
          <w:rFonts w:ascii="Times New Roman" w:hAnsi="Times New Roman" w:cs="Times New Roman"/>
          <w:noProof/>
          <w:color w:val="auto"/>
          <w:lang w:eastAsia="hr-HR"/>
        </w:rPr>
        <w:tab/>
      </w:r>
      <w:r w:rsidRPr="001342D0">
        <w:rPr>
          <w:rFonts w:ascii="Times New Roman" w:hAnsi="Times New Roman" w:cs="Times New Roman"/>
          <w:noProof/>
        </w:rPr>
        <w:t>Neto rezultat</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_Toc130809370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27</w:t>
      </w:r>
      <w:r w:rsidRPr="001342D0">
        <w:rPr>
          <w:rFonts w:ascii="Times New Roman" w:hAnsi="Times New Roman" w:cs="Times New Roman"/>
          <w:noProof/>
        </w:rPr>
        <w:fldChar w:fldCharType="end"/>
      </w:r>
    </w:p>
    <w:p w14:paraId="7373B2C9" w14:textId="47F23AB0"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3.2.4</w:t>
      </w:r>
      <w:r w:rsidRPr="001342D0">
        <w:rPr>
          <w:rFonts w:ascii="Times New Roman" w:hAnsi="Times New Roman" w:cs="Times New Roman"/>
          <w:noProof/>
          <w:color w:val="auto"/>
          <w:lang w:eastAsia="hr-HR"/>
        </w:rPr>
        <w:tab/>
      </w:r>
      <w:r w:rsidRPr="001342D0">
        <w:rPr>
          <w:rFonts w:ascii="Times New Roman" w:hAnsi="Times New Roman" w:cs="Times New Roman"/>
          <w:noProof/>
        </w:rPr>
        <w:t>Ulaganje u dugotrajnu materijalnu i nematerijalnu imovinu</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_Toc130809371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28</w:t>
      </w:r>
      <w:r w:rsidRPr="001342D0">
        <w:rPr>
          <w:rFonts w:ascii="Times New Roman" w:hAnsi="Times New Roman" w:cs="Times New Roman"/>
          <w:noProof/>
        </w:rPr>
        <w:fldChar w:fldCharType="end"/>
      </w:r>
    </w:p>
    <w:p w14:paraId="389ED164" w14:textId="0CE6130F" w:rsidR="00CD290C" w:rsidRPr="001342D0" w:rsidRDefault="00CD290C">
      <w:pPr>
        <w:pStyle w:val="TOC3"/>
        <w:rPr>
          <w:rFonts w:ascii="Times New Roman" w:hAnsi="Times New Roman" w:cs="Times New Roman"/>
          <w:noProof/>
          <w:color w:val="auto"/>
          <w:lang w:eastAsia="hr-HR"/>
        </w:rPr>
      </w:pPr>
      <w:r w:rsidRPr="001342D0">
        <w:rPr>
          <w:rFonts w:ascii="Times New Roman" w:hAnsi="Times New Roman" w:cs="Times New Roman"/>
          <w:noProof/>
        </w:rPr>
        <w:t>3.2.5</w:t>
      </w:r>
      <w:r w:rsidRPr="001342D0">
        <w:rPr>
          <w:rFonts w:ascii="Times New Roman" w:hAnsi="Times New Roman" w:cs="Times New Roman"/>
          <w:noProof/>
          <w:color w:val="auto"/>
          <w:lang w:eastAsia="hr-HR"/>
        </w:rPr>
        <w:tab/>
      </w:r>
      <w:r w:rsidRPr="001342D0">
        <w:rPr>
          <w:rFonts w:ascii="Times New Roman" w:hAnsi="Times New Roman" w:cs="Times New Roman"/>
          <w:noProof/>
        </w:rPr>
        <w:t>Zaključak</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_Toc130809372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29</w:t>
      </w:r>
      <w:r w:rsidRPr="001342D0">
        <w:rPr>
          <w:rFonts w:ascii="Times New Roman" w:hAnsi="Times New Roman" w:cs="Times New Roman"/>
          <w:noProof/>
        </w:rPr>
        <w:fldChar w:fldCharType="end"/>
      </w:r>
    </w:p>
    <w:p w14:paraId="3FD3B348" w14:textId="64C2D7AD" w:rsidR="00CD290C" w:rsidRPr="001342D0" w:rsidRDefault="00CD290C" w:rsidP="00CD290C">
      <w:pPr>
        <w:pStyle w:val="TOC1"/>
        <w:rPr>
          <w:rFonts w:ascii="Times New Roman" w:hAnsi="Times New Roman" w:cs="Times New Roman"/>
          <w:noProof/>
          <w:color w:val="auto"/>
          <w:lang w:eastAsia="hr-HR"/>
        </w:rPr>
      </w:pPr>
      <w:r w:rsidRPr="001342D0">
        <w:rPr>
          <w:rFonts w:ascii="Times New Roman" w:hAnsi="Times New Roman" w:cs="Times New Roman"/>
          <w:noProof/>
        </w:rPr>
        <w:t>4</w:t>
      </w:r>
      <w:r w:rsidRPr="001342D0">
        <w:rPr>
          <w:rFonts w:ascii="Times New Roman" w:hAnsi="Times New Roman" w:cs="Times New Roman"/>
          <w:noProof/>
          <w:color w:val="auto"/>
          <w:lang w:eastAsia="hr-HR"/>
        </w:rPr>
        <w:tab/>
      </w:r>
      <w:r w:rsidRPr="001342D0">
        <w:rPr>
          <w:rFonts w:ascii="Times New Roman" w:hAnsi="Times New Roman" w:cs="Times New Roman"/>
          <w:noProof/>
        </w:rPr>
        <w:t>Dodatak I – Financijski plan po kontima (pomoćna tablica)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_Toc130809373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30</w:t>
      </w:r>
      <w:r w:rsidRPr="001342D0">
        <w:rPr>
          <w:rFonts w:ascii="Times New Roman" w:hAnsi="Times New Roman" w:cs="Times New Roman"/>
          <w:noProof/>
        </w:rPr>
        <w:fldChar w:fldCharType="end"/>
      </w:r>
    </w:p>
    <w:p w14:paraId="3791B5B6" w14:textId="5197540F" w:rsidR="00CD290C" w:rsidRPr="001342D0" w:rsidRDefault="00CD290C" w:rsidP="00CD290C">
      <w:pPr>
        <w:pStyle w:val="TOC1"/>
        <w:rPr>
          <w:rFonts w:ascii="Times New Roman" w:hAnsi="Times New Roman" w:cs="Times New Roman"/>
          <w:noProof/>
          <w:color w:val="auto"/>
          <w:lang w:eastAsia="hr-HR"/>
        </w:rPr>
      </w:pPr>
      <w:r w:rsidRPr="001342D0">
        <w:rPr>
          <w:rFonts w:ascii="Times New Roman" w:hAnsi="Times New Roman" w:cs="Times New Roman"/>
          <w:noProof/>
        </w:rPr>
        <w:t>5</w:t>
      </w:r>
      <w:r w:rsidRPr="001342D0">
        <w:rPr>
          <w:rFonts w:ascii="Times New Roman" w:hAnsi="Times New Roman" w:cs="Times New Roman"/>
          <w:noProof/>
          <w:color w:val="auto"/>
          <w:lang w:eastAsia="hr-HR"/>
        </w:rPr>
        <w:tab/>
      </w:r>
      <w:r w:rsidRPr="001342D0">
        <w:rPr>
          <w:rFonts w:ascii="Times New Roman" w:hAnsi="Times New Roman" w:cs="Times New Roman"/>
          <w:noProof/>
        </w:rPr>
        <w:t>Dodatak II - Popis kratica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_Toc130809374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31</w:t>
      </w:r>
      <w:r w:rsidRPr="001342D0">
        <w:rPr>
          <w:rFonts w:ascii="Times New Roman" w:hAnsi="Times New Roman" w:cs="Times New Roman"/>
          <w:noProof/>
        </w:rPr>
        <w:fldChar w:fldCharType="end"/>
      </w:r>
    </w:p>
    <w:p w14:paraId="6BF4D7D0" w14:textId="02BD6CD9" w:rsidR="00CD290C" w:rsidRPr="001342D0" w:rsidRDefault="00CD290C" w:rsidP="00CD290C">
      <w:pPr>
        <w:pStyle w:val="TOC1"/>
        <w:rPr>
          <w:rFonts w:ascii="Times New Roman" w:hAnsi="Times New Roman" w:cs="Times New Roman"/>
          <w:noProof/>
          <w:color w:val="auto"/>
          <w:lang w:eastAsia="hr-HR"/>
        </w:rPr>
      </w:pPr>
      <w:r w:rsidRPr="001342D0">
        <w:rPr>
          <w:rFonts w:ascii="Times New Roman" w:hAnsi="Times New Roman" w:cs="Times New Roman"/>
          <w:noProof/>
        </w:rPr>
        <w:t>6</w:t>
      </w:r>
      <w:r w:rsidRPr="001342D0">
        <w:rPr>
          <w:rFonts w:ascii="Times New Roman" w:hAnsi="Times New Roman" w:cs="Times New Roman"/>
          <w:noProof/>
          <w:color w:val="auto"/>
          <w:lang w:eastAsia="hr-HR"/>
        </w:rPr>
        <w:tab/>
      </w:r>
      <w:r w:rsidRPr="001342D0">
        <w:rPr>
          <w:rFonts w:ascii="Times New Roman" w:hAnsi="Times New Roman" w:cs="Times New Roman"/>
          <w:noProof/>
        </w:rPr>
        <w:t>Dodatak III - Popis tablica</w:t>
      </w:r>
      <w:r w:rsidRPr="001342D0">
        <w:rPr>
          <w:rFonts w:ascii="Times New Roman" w:hAnsi="Times New Roman" w:cs="Times New Roman"/>
          <w:noProof/>
        </w:rPr>
        <w:tab/>
      </w:r>
      <w:r w:rsidRPr="001342D0">
        <w:rPr>
          <w:rFonts w:ascii="Times New Roman" w:hAnsi="Times New Roman" w:cs="Times New Roman"/>
          <w:noProof/>
        </w:rPr>
        <w:fldChar w:fldCharType="begin"/>
      </w:r>
      <w:r w:rsidRPr="001342D0">
        <w:rPr>
          <w:rFonts w:ascii="Times New Roman" w:hAnsi="Times New Roman" w:cs="Times New Roman"/>
          <w:noProof/>
        </w:rPr>
        <w:instrText xml:space="preserve"> PAGEREF _Toc130809375 \h </w:instrText>
      </w:r>
      <w:r w:rsidRPr="001342D0">
        <w:rPr>
          <w:rFonts w:ascii="Times New Roman" w:hAnsi="Times New Roman" w:cs="Times New Roman"/>
          <w:noProof/>
        </w:rPr>
      </w:r>
      <w:r w:rsidRPr="001342D0">
        <w:rPr>
          <w:rFonts w:ascii="Times New Roman" w:hAnsi="Times New Roman" w:cs="Times New Roman"/>
          <w:noProof/>
        </w:rPr>
        <w:fldChar w:fldCharType="separate"/>
      </w:r>
      <w:r w:rsidRPr="001342D0">
        <w:rPr>
          <w:rFonts w:ascii="Times New Roman" w:hAnsi="Times New Roman" w:cs="Times New Roman"/>
          <w:noProof/>
        </w:rPr>
        <w:t>34</w:t>
      </w:r>
      <w:r w:rsidRPr="001342D0">
        <w:rPr>
          <w:rFonts w:ascii="Times New Roman" w:hAnsi="Times New Roman" w:cs="Times New Roman"/>
          <w:noProof/>
        </w:rPr>
        <w:fldChar w:fldCharType="end"/>
      </w:r>
    </w:p>
    <w:p w14:paraId="6DDA0FD7" w14:textId="584C1E8B" w:rsidR="004812D3" w:rsidRPr="003A6D7B" w:rsidRDefault="004812D3" w:rsidP="003A6D7B">
      <w:pPr>
        <w:spacing w:line="276" w:lineRule="auto"/>
        <w:jc w:val="left"/>
        <w:rPr>
          <w:rFonts w:ascii="Times New Roman" w:hAnsi="Times New Roman" w:cs="Times New Roman"/>
          <w:sz w:val="20"/>
          <w:szCs w:val="20"/>
        </w:rPr>
      </w:pPr>
      <w:r w:rsidRPr="001342D0">
        <w:rPr>
          <w:rFonts w:ascii="Times New Roman" w:hAnsi="Times New Roman" w:cs="Times New Roman"/>
          <w:sz w:val="24"/>
          <w:szCs w:val="24"/>
        </w:rPr>
        <w:fldChar w:fldCharType="end"/>
      </w:r>
    </w:p>
    <w:p w14:paraId="271F638B" w14:textId="52191D20" w:rsidR="008D0709" w:rsidRDefault="002227F3" w:rsidP="00F54F1F">
      <w:pPr>
        <w:jc w:val="left"/>
        <w:rPr>
          <w:rFonts w:ascii="Times New Roman" w:hAnsi="Times New Roman" w:cs="Times New Roman"/>
          <w:sz w:val="20"/>
          <w:szCs w:val="20"/>
        </w:rPr>
      </w:pPr>
      <w:r>
        <w:rPr>
          <w:rFonts w:ascii="Times New Roman" w:hAnsi="Times New Roman" w:cs="Times New Roman"/>
          <w:sz w:val="20"/>
          <w:szCs w:val="20"/>
        </w:rPr>
        <w:br/>
      </w:r>
    </w:p>
    <w:p w14:paraId="287F2BC5" w14:textId="77777777" w:rsidR="008D0709" w:rsidRDefault="008D0709">
      <w:pPr>
        <w:spacing w:after="160"/>
        <w:jc w:val="left"/>
        <w:rPr>
          <w:rFonts w:ascii="Times New Roman" w:hAnsi="Times New Roman" w:cs="Times New Roman"/>
          <w:sz w:val="20"/>
          <w:szCs w:val="20"/>
        </w:rPr>
      </w:pPr>
      <w:r>
        <w:rPr>
          <w:rFonts w:ascii="Times New Roman" w:hAnsi="Times New Roman" w:cs="Times New Roman"/>
          <w:sz w:val="20"/>
          <w:szCs w:val="20"/>
        </w:rPr>
        <w:br w:type="page"/>
      </w:r>
    </w:p>
    <w:p w14:paraId="25BE37F8" w14:textId="332E8FA7" w:rsidR="00E40966" w:rsidRPr="003A6D7B" w:rsidRDefault="00F85BE6" w:rsidP="00AF4F25">
      <w:pPr>
        <w:pStyle w:val="Heading1"/>
      </w:pPr>
      <w:bookmarkStart w:id="3" w:name="_Toc130809337"/>
      <w:bookmarkStart w:id="4" w:name="_Toc130809338"/>
      <w:bookmarkStart w:id="5" w:name="_Toc130809339"/>
      <w:bookmarkStart w:id="6" w:name="_Toc130809340"/>
      <w:bookmarkStart w:id="7" w:name="_Toc130809341"/>
      <w:bookmarkStart w:id="8" w:name="_Toc130809342"/>
      <w:bookmarkEnd w:id="3"/>
      <w:bookmarkEnd w:id="4"/>
      <w:bookmarkEnd w:id="5"/>
      <w:bookmarkEnd w:id="6"/>
      <w:bookmarkEnd w:id="7"/>
      <w:r w:rsidRPr="003A6D7B">
        <w:lastRenderedPageBreak/>
        <w:t>Pravni okvir</w:t>
      </w:r>
      <w:r w:rsidR="00862A0E" w:rsidRPr="003A6D7B">
        <w:t xml:space="preserve">, </w:t>
      </w:r>
      <w:r w:rsidRPr="003A6D7B">
        <w:t xml:space="preserve">djelatnost </w:t>
      </w:r>
      <w:r w:rsidR="00862A0E" w:rsidRPr="003A6D7B">
        <w:t xml:space="preserve">i financiranje </w:t>
      </w:r>
      <w:r w:rsidRPr="003A6D7B">
        <w:t>Fonda</w:t>
      </w:r>
      <w:bookmarkEnd w:id="8"/>
    </w:p>
    <w:p w14:paraId="118F86F0" w14:textId="0424DF25" w:rsidR="00F85BE6" w:rsidRPr="003A6D7B" w:rsidRDefault="00F85BE6"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Pravna osnova za donošenje Programa rada i financijskog plana Fonda sadržana je u članku 17. Zakona o Fondu za financiranje razgradnje i zbrinjavanja radioaktivnog otpada i istrošenoga nuklearnog goriva Nuklearne elektrane Krško </w:t>
      </w:r>
      <w:r w:rsidR="00933629" w:rsidRPr="003A6D7B">
        <w:rPr>
          <w:rFonts w:ascii="Times New Roman" w:hAnsi="Times New Roman" w:cs="Times New Roman"/>
          <w:sz w:val="24"/>
          <w:szCs w:val="24"/>
        </w:rPr>
        <w:t>(NN</w:t>
      </w:r>
      <w:r w:rsidRPr="003A6D7B">
        <w:rPr>
          <w:rFonts w:ascii="Times New Roman" w:hAnsi="Times New Roman" w:cs="Times New Roman"/>
          <w:sz w:val="24"/>
          <w:szCs w:val="24"/>
        </w:rPr>
        <w:t xml:space="preserve"> 107/07</w:t>
      </w:r>
      <w:r w:rsidR="000C3CE7" w:rsidRPr="003A6D7B">
        <w:rPr>
          <w:rFonts w:ascii="Times New Roman" w:hAnsi="Times New Roman" w:cs="Times New Roman"/>
          <w:sz w:val="24"/>
          <w:szCs w:val="24"/>
        </w:rPr>
        <w:t xml:space="preserve"> i 21/22</w:t>
      </w:r>
      <w:r w:rsidRPr="003A6D7B">
        <w:rPr>
          <w:rFonts w:ascii="Times New Roman" w:hAnsi="Times New Roman" w:cs="Times New Roman"/>
          <w:sz w:val="24"/>
          <w:szCs w:val="24"/>
        </w:rPr>
        <w:t>), (u daljnjem tekstu: Zakon o Fondu).</w:t>
      </w:r>
    </w:p>
    <w:p w14:paraId="4A386A32" w14:textId="6262ACE6" w:rsidR="00F85BE6" w:rsidRPr="003A6D7B" w:rsidRDefault="00F85BE6" w:rsidP="00DE287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Fond za financiranje razgradnje i zbrinjavanja radioaktivnog otpada i istrošenoga nuklearnog goriva Nuklearne elektrane Krško (u daljnjem tekstu: Fond) osnovan je na temelju Zakona o Fondu. Sjedište Fonda je u Zagrebu, </w:t>
      </w:r>
      <w:r w:rsidR="00633C20" w:rsidRPr="003A6D7B">
        <w:rPr>
          <w:rFonts w:ascii="Times New Roman" w:hAnsi="Times New Roman" w:cs="Times New Roman"/>
          <w:sz w:val="24"/>
          <w:szCs w:val="24"/>
        </w:rPr>
        <w:t>ulica Vjekoslava Heinzela 70a</w:t>
      </w:r>
      <w:r w:rsidRPr="003A6D7B">
        <w:rPr>
          <w:rFonts w:ascii="Times New Roman" w:hAnsi="Times New Roman" w:cs="Times New Roman"/>
          <w:sz w:val="24"/>
          <w:szCs w:val="24"/>
        </w:rPr>
        <w:t>, OIB: 22388237533.</w:t>
      </w:r>
    </w:p>
    <w:p w14:paraId="714EE52A" w14:textId="626F3340" w:rsidR="00F85BE6" w:rsidRPr="003A6D7B" w:rsidRDefault="00F85BE6" w:rsidP="004D3913">
      <w:pPr>
        <w:spacing w:line="276" w:lineRule="auto"/>
        <w:rPr>
          <w:rFonts w:ascii="Times New Roman" w:hAnsi="Times New Roman" w:cs="Times New Roman"/>
          <w:color w:val="auto"/>
          <w:sz w:val="24"/>
          <w:szCs w:val="24"/>
        </w:rPr>
      </w:pPr>
      <w:r w:rsidRPr="003A6D7B">
        <w:rPr>
          <w:rFonts w:ascii="Times New Roman" w:hAnsi="Times New Roman" w:cs="Times New Roman"/>
          <w:color w:val="auto"/>
          <w:sz w:val="24"/>
          <w:szCs w:val="24"/>
        </w:rPr>
        <w:t>Djelatnost Fonda obuhvaća poslove u svezi s prikupljanjem, očuvanjem i povećanjem vrijednosti sredstava za financiranje izrade, revizije i provedbe Programa razgradnje Nuklearne elektrane Krško i odlaganja radioaktivnog otpada i istrošenoga nuklearnog goriva sukladno članku 10. i 11. Ugovora između Vlade Republike Hrvatske i Vlade Republike Slovenije o uređenju statusnih i drugih pravnih odnosa u vezi s ulaganjem, iskorištavanjem i razgradnjom Nuklearne elektrane Krško (</w:t>
      </w:r>
      <w:r w:rsidR="00DE287E" w:rsidRPr="003A6D7B">
        <w:rPr>
          <w:rFonts w:ascii="Times New Roman" w:hAnsi="Times New Roman" w:cs="Times New Roman"/>
          <w:color w:val="auto"/>
          <w:sz w:val="24"/>
          <w:szCs w:val="24"/>
        </w:rPr>
        <w:t>NN MU</w:t>
      </w:r>
      <w:r w:rsidRPr="003A6D7B">
        <w:rPr>
          <w:rFonts w:ascii="Times New Roman" w:hAnsi="Times New Roman" w:cs="Times New Roman"/>
          <w:color w:val="auto"/>
          <w:sz w:val="24"/>
          <w:szCs w:val="24"/>
        </w:rPr>
        <w:t xml:space="preserve"> 9/02) (u daljnjem tekstu: Međudržavni ugovor), poslove koordinacije pripreme i izrade Programa razgradnje i </w:t>
      </w:r>
      <w:r w:rsidR="00D72FF8" w:rsidRPr="003A6D7B">
        <w:rPr>
          <w:rFonts w:ascii="Times New Roman" w:hAnsi="Times New Roman" w:cs="Times New Roman"/>
          <w:color w:val="auto"/>
          <w:sz w:val="24"/>
          <w:szCs w:val="24"/>
        </w:rPr>
        <w:t xml:space="preserve">Programa </w:t>
      </w:r>
      <w:r w:rsidRPr="003A6D7B">
        <w:rPr>
          <w:rFonts w:ascii="Times New Roman" w:hAnsi="Times New Roman" w:cs="Times New Roman"/>
          <w:color w:val="auto"/>
          <w:sz w:val="24"/>
          <w:szCs w:val="24"/>
        </w:rPr>
        <w:t>odlaganja radioaktivnog otpada i istrošenoga nuklearnog goriva Nuklearne elektrane Krško sukladno Strategiji zbrinjavanja radioaktivnog otpada, istrošenih izvora i istrošenog nuklearnog goriva Republike Hrvatske</w:t>
      </w:r>
      <w:r w:rsidR="00D72FF8" w:rsidRPr="003A6D7B">
        <w:rPr>
          <w:rFonts w:ascii="Times New Roman" w:hAnsi="Times New Roman" w:cs="Times New Roman"/>
          <w:color w:val="auto"/>
          <w:sz w:val="24"/>
          <w:szCs w:val="24"/>
        </w:rPr>
        <w:t xml:space="preserve"> (Strategija) i Nacionalnom programu provedbe Strategije. Zakonom o izmjenama i dopunama Zakona o Fondu (</w:t>
      </w:r>
      <w:r w:rsidR="00DE287E" w:rsidRPr="003A6D7B">
        <w:rPr>
          <w:rFonts w:ascii="Times New Roman" w:hAnsi="Times New Roman" w:cs="Times New Roman"/>
          <w:color w:val="auto"/>
          <w:sz w:val="24"/>
          <w:szCs w:val="24"/>
        </w:rPr>
        <w:t>NN</w:t>
      </w:r>
      <w:r w:rsidR="00D72FF8" w:rsidRPr="003A6D7B">
        <w:rPr>
          <w:rFonts w:ascii="Times New Roman" w:hAnsi="Times New Roman" w:cs="Times New Roman"/>
          <w:color w:val="auto"/>
          <w:sz w:val="24"/>
          <w:szCs w:val="24"/>
        </w:rPr>
        <w:t xml:space="preserve"> 21/22) djelatnost Fonda proširena je na poslove zbrinjavanja radioaktivnog otpada i iskorištenih izvora podrijetlom s teritorija Republike Hrvatske, uključujući i središnje skladište, te radioaktivnog otpada koji nije nastao na teritoriju Republike Hrvatske, a čija obveza zbrinjavanja proizlazi iz Međudržavnog ugovora, kao i ostale poslove zbrinjavanja radioaktivnog otpada i istrošenoga goriva te iskorištenih izvora sukladno Zakonu o radiološkoj i nuklearnoj sigurnosti. </w:t>
      </w:r>
    </w:p>
    <w:p w14:paraId="7ABA76C3" w14:textId="1268C5C2" w:rsidR="00F85BE6" w:rsidRPr="003A6D7B" w:rsidRDefault="00F85BE6"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Pored toga, Zakonom o izmjenama i dopunama Zakona o radiološkoj i nuklearnoj sigurnosti (</w:t>
      </w:r>
      <w:r w:rsidR="009B200A" w:rsidRPr="003A6D7B">
        <w:rPr>
          <w:rFonts w:ascii="Times New Roman" w:hAnsi="Times New Roman" w:cs="Times New Roman"/>
          <w:sz w:val="24"/>
          <w:szCs w:val="24"/>
        </w:rPr>
        <w:t xml:space="preserve">NN </w:t>
      </w:r>
      <w:r w:rsidR="00933629" w:rsidRPr="003A6D7B">
        <w:rPr>
          <w:rFonts w:ascii="Times New Roman" w:hAnsi="Times New Roman" w:cs="Times New Roman"/>
          <w:sz w:val="24"/>
          <w:szCs w:val="24"/>
        </w:rPr>
        <w:t>21</w:t>
      </w:r>
      <w:r w:rsidR="009B200A" w:rsidRPr="003A6D7B">
        <w:rPr>
          <w:rFonts w:ascii="Times New Roman" w:hAnsi="Times New Roman" w:cs="Times New Roman"/>
          <w:sz w:val="24"/>
          <w:szCs w:val="24"/>
        </w:rPr>
        <w:t>/</w:t>
      </w:r>
      <w:r w:rsidR="00933629" w:rsidRPr="003A6D7B">
        <w:rPr>
          <w:rFonts w:ascii="Times New Roman" w:hAnsi="Times New Roman" w:cs="Times New Roman"/>
          <w:sz w:val="24"/>
          <w:szCs w:val="24"/>
        </w:rPr>
        <w:t>22</w:t>
      </w:r>
      <w:r w:rsidRPr="003A6D7B">
        <w:rPr>
          <w:rFonts w:ascii="Times New Roman" w:hAnsi="Times New Roman" w:cs="Times New Roman"/>
          <w:color w:val="auto"/>
          <w:sz w:val="24"/>
          <w:szCs w:val="24"/>
        </w:rPr>
        <w:t>)</w:t>
      </w:r>
      <w:r w:rsidR="00D72FF8" w:rsidRPr="003A6D7B">
        <w:rPr>
          <w:rFonts w:ascii="Times New Roman" w:hAnsi="Times New Roman" w:cs="Times New Roman"/>
          <w:color w:val="auto"/>
          <w:sz w:val="24"/>
          <w:szCs w:val="24"/>
        </w:rPr>
        <w:t xml:space="preserve"> i Zakonom o izmjenama i dopunama Zakona o Fondu,</w:t>
      </w:r>
      <w:r w:rsidRPr="003A6D7B">
        <w:rPr>
          <w:rFonts w:ascii="Times New Roman" w:hAnsi="Times New Roman" w:cs="Times New Roman"/>
          <w:color w:val="auto"/>
          <w:sz w:val="24"/>
          <w:szCs w:val="24"/>
        </w:rPr>
        <w:t xml:space="preserve"> utvrđena je obveza osnivanja Centra za zbrinjavanje radioaktivnog otpada </w:t>
      </w:r>
      <w:r w:rsidRPr="003A6D7B">
        <w:rPr>
          <w:rFonts w:ascii="Times New Roman" w:hAnsi="Times New Roman" w:cs="Times New Roman"/>
          <w:sz w:val="24"/>
          <w:szCs w:val="24"/>
        </w:rPr>
        <w:t>(u daljnjem tekstu: Centar) kao ustrojstvene jedinic</w:t>
      </w:r>
      <w:r w:rsidR="00FA3300" w:rsidRPr="003A6D7B">
        <w:rPr>
          <w:rFonts w:ascii="Times New Roman" w:hAnsi="Times New Roman" w:cs="Times New Roman"/>
          <w:sz w:val="24"/>
          <w:szCs w:val="24"/>
        </w:rPr>
        <w:t>e</w:t>
      </w:r>
      <w:r w:rsidRPr="003A6D7B">
        <w:rPr>
          <w:rFonts w:ascii="Times New Roman" w:hAnsi="Times New Roman" w:cs="Times New Roman"/>
          <w:sz w:val="24"/>
          <w:szCs w:val="24"/>
        </w:rPr>
        <w:t xml:space="preserve"> Fonda. </w:t>
      </w:r>
    </w:p>
    <w:p w14:paraId="4D48D3C7" w14:textId="4F90D25F" w:rsidR="00F85BE6" w:rsidRPr="003A6D7B" w:rsidRDefault="00F85BE6"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Zakonom o Fondu je određeno da se sredstva za financiranje razgradnje i zbrinjavanja radioaktivnog otpada i istrošenoga nuklearnog goriva Nuklearne elektrane Krško (u daljnjem tekstu: NE Krško, NEK) uplaćuju u Fond tromjesečno do prestanka rada NE Krško odnosno dok se ne ostvari planirani iznos sredstava utvrđen važećim Pro</w:t>
      </w:r>
      <w:r w:rsidRPr="003A6D7B">
        <w:rPr>
          <w:rFonts w:ascii="Times New Roman" w:hAnsi="Times New Roman" w:cs="Times New Roman"/>
          <w:sz w:val="24"/>
          <w:szCs w:val="24"/>
        </w:rPr>
        <w:lastRenderedPageBreak/>
        <w:t>gramom razgradnje, te da je obveznik uplate sredstava na račun Fonda Hrvatska elektroprivreda d.d., Zagreb</w:t>
      </w:r>
      <w:r w:rsidR="004D6ABE" w:rsidRPr="003A6D7B">
        <w:rPr>
          <w:rFonts w:ascii="Times New Roman" w:hAnsi="Times New Roman" w:cs="Times New Roman"/>
          <w:sz w:val="24"/>
          <w:szCs w:val="24"/>
        </w:rPr>
        <w:t xml:space="preserve"> (u daljnjem tekstu: HEP)</w:t>
      </w:r>
      <w:r w:rsidRPr="003A6D7B">
        <w:rPr>
          <w:rFonts w:ascii="Times New Roman" w:hAnsi="Times New Roman" w:cs="Times New Roman"/>
          <w:sz w:val="24"/>
          <w:szCs w:val="24"/>
        </w:rPr>
        <w:t xml:space="preserve">. Iznos, rok i način uplate sredstava na račun Fonda, sukladno Programu razgradnje, propisuje Vlada Republike Hrvatske, na prijedlog središnjeg tijela državne uprave nadležnog za poslove energetike. </w:t>
      </w:r>
    </w:p>
    <w:p w14:paraId="5ACF75B5" w14:textId="14E3E66C" w:rsidR="004D6ABE" w:rsidRPr="003A6D7B" w:rsidRDefault="00F85BE6"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Uredbom o iznosu, roku i načinu uplate sredstava za financiranje razgradnje i zbrinjavanja radioaktivnog otpada i istrošenoga nuklearnog goriva Nuklearne elektrane Krško (</w:t>
      </w:r>
      <w:r w:rsidR="003530EA" w:rsidRPr="003A6D7B">
        <w:rPr>
          <w:rFonts w:ascii="Times New Roman" w:hAnsi="Times New Roman" w:cs="Times New Roman"/>
          <w:sz w:val="24"/>
          <w:szCs w:val="24"/>
        </w:rPr>
        <w:t>NN</w:t>
      </w:r>
      <w:r w:rsidRPr="003A6D7B">
        <w:rPr>
          <w:rFonts w:ascii="Times New Roman" w:hAnsi="Times New Roman" w:cs="Times New Roman"/>
          <w:sz w:val="24"/>
          <w:szCs w:val="24"/>
        </w:rPr>
        <w:t xml:space="preserve"> 155/08), </w:t>
      </w:r>
      <w:r w:rsidR="004D6ABE" w:rsidRPr="003A6D7B">
        <w:rPr>
          <w:rFonts w:ascii="Times New Roman" w:hAnsi="Times New Roman" w:cs="Times New Roman"/>
          <w:sz w:val="24"/>
          <w:szCs w:val="24"/>
        </w:rPr>
        <w:t xml:space="preserve">od </w:t>
      </w:r>
      <w:r w:rsidRPr="003A6D7B">
        <w:rPr>
          <w:rFonts w:ascii="Times New Roman" w:hAnsi="Times New Roman" w:cs="Times New Roman"/>
          <w:sz w:val="24"/>
          <w:szCs w:val="24"/>
        </w:rPr>
        <w:t xml:space="preserve">30. prosinca 2008., </w:t>
      </w:r>
      <w:r w:rsidR="004D6ABE" w:rsidRPr="003A6D7B">
        <w:rPr>
          <w:rFonts w:ascii="Times New Roman" w:hAnsi="Times New Roman" w:cs="Times New Roman"/>
          <w:sz w:val="24"/>
          <w:szCs w:val="24"/>
        </w:rPr>
        <w:t xml:space="preserve">(u daljnjem tekstu: Uredba) </w:t>
      </w:r>
      <w:r w:rsidRPr="003A6D7B">
        <w:rPr>
          <w:rFonts w:ascii="Times New Roman" w:hAnsi="Times New Roman" w:cs="Times New Roman"/>
          <w:sz w:val="24"/>
          <w:szCs w:val="24"/>
        </w:rPr>
        <w:t>propisano je da je</w:t>
      </w:r>
      <w:r w:rsidR="004D6ABE" w:rsidRPr="003A6D7B">
        <w:rPr>
          <w:rFonts w:ascii="Times New Roman" w:hAnsi="Times New Roman" w:cs="Times New Roman"/>
          <w:sz w:val="24"/>
          <w:szCs w:val="24"/>
        </w:rPr>
        <w:t xml:space="preserve"> HEP</w:t>
      </w:r>
      <w:r w:rsidRPr="003A6D7B">
        <w:rPr>
          <w:rFonts w:ascii="Times New Roman" w:hAnsi="Times New Roman" w:cs="Times New Roman"/>
          <w:sz w:val="24"/>
          <w:szCs w:val="24"/>
        </w:rPr>
        <w:t xml:space="preserve"> duž</w:t>
      </w:r>
      <w:r w:rsidR="004D6ABE" w:rsidRPr="003A6D7B">
        <w:rPr>
          <w:rFonts w:ascii="Times New Roman" w:hAnsi="Times New Roman" w:cs="Times New Roman"/>
          <w:sz w:val="24"/>
          <w:szCs w:val="24"/>
        </w:rPr>
        <w:t>an</w:t>
      </w:r>
      <w:r w:rsidRPr="003A6D7B">
        <w:rPr>
          <w:rFonts w:ascii="Times New Roman" w:hAnsi="Times New Roman" w:cs="Times New Roman"/>
          <w:sz w:val="24"/>
          <w:szCs w:val="24"/>
        </w:rPr>
        <w:t xml:space="preserve"> uplaćivati na račun Fonda iznos od 14,25 </w:t>
      </w:r>
      <w:r w:rsidR="008A6522" w:rsidRPr="003A6D7B">
        <w:rPr>
          <w:rFonts w:ascii="Times New Roman" w:hAnsi="Times New Roman" w:cs="Times New Roman"/>
          <w:sz w:val="24"/>
          <w:szCs w:val="24"/>
        </w:rPr>
        <w:t>mil.</w:t>
      </w:r>
      <w:r w:rsidRPr="003A6D7B">
        <w:rPr>
          <w:rFonts w:ascii="Times New Roman" w:hAnsi="Times New Roman" w:cs="Times New Roman"/>
          <w:sz w:val="24"/>
          <w:szCs w:val="24"/>
        </w:rPr>
        <w:t xml:space="preserve"> </w:t>
      </w:r>
      <w:r w:rsidR="0076355A" w:rsidRPr="003A6D7B">
        <w:rPr>
          <w:rFonts w:ascii="Times New Roman" w:hAnsi="Times New Roman" w:cs="Times New Roman"/>
          <w:sz w:val="24"/>
          <w:szCs w:val="24"/>
        </w:rPr>
        <w:t>EUR</w:t>
      </w:r>
      <w:r w:rsidRPr="003A6D7B">
        <w:rPr>
          <w:rFonts w:ascii="Times New Roman" w:hAnsi="Times New Roman" w:cs="Times New Roman"/>
          <w:sz w:val="24"/>
          <w:szCs w:val="24"/>
        </w:rPr>
        <w:t xml:space="preserve"> godišnje</w:t>
      </w:r>
      <w:r w:rsidR="008A6522" w:rsidRPr="003A6D7B">
        <w:rPr>
          <w:rFonts w:ascii="Times New Roman" w:hAnsi="Times New Roman" w:cs="Times New Roman"/>
          <w:sz w:val="24"/>
          <w:szCs w:val="24"/>
        </w:rPr>
        <w:t>.</w:t>
      </w:r>
      <w:r w:rsidRPr="003A6D7B">
        <w:rPr>
          <w:rFonts w:ascii="Times New Roman" w:hAnsi="Times New Roman" w:cs="Times New Roman"/>
          <w:sz w:val="24"/>
          <w:szCs w:val="24"/>
        </w:rPr>
        <w:t xml:space="preserve"> </w:t>
      </w:r>
      <w:r w:rsidR="00BA56FD" w:rsidRPr="003A6D7B">
        <w:rPr>
          <w:rFonts w:ascii="Times New Roman" w:hAnsi="Times New Roman" w:cs="Times New Roman"/>
          <w:sz w:val="24"/>
          <w:szCs w:val="24"/>
        </w:rPr>
        <w:t>Sukladno Trećoj reviziji Programa razgradnje Nuklearne elektrane Krško i Programu odlaganja radioaktivnog otpada i istrošenoga nuklearnog goriva (u daljnjem tekstu: Program razgradnje i odlaganja), koja je potvrđena od strane Međudržavnog povjerenstva</w:t>
      </w:r>
      <w:r w:rsidR="004D6ABE" w:rsidRPr="003A6D7B">
        <w:rPr>
          <w:rFonts w:ascii="Times New Roman" w:hAnsi="Times New Roman" w:cs="Times New Roman"/>
          <w:sz w:val="24"/>
          <w:szCs w:val="24"/>
        </w:rPr>
        <w:t xml:space="preserve"> za praćenje provedbe Međudržavnog ugovora o NEK</w:t>
      </w:r>
      <w:r w:rsidR="00BA56FD" w:rsidRPr="003A6D7B">
        <w:rPr>
          <w:rFonts w:ascii="Times New Roman" w:hAnsi="Times New Roman" w:cs="Times New Roman"/>
          <w:sz w:val="24"/>
          <w:szCs w:val="24"/>
        </w:rPr>
        <w:t xml:space="preserve"> </w:t>
      </w:r>
      <w:r w:rsidR="004D6ABE" w:rsidRPr="003A6D7B">
        <w:rPr>
          <w:rFonts w:ascii="Times New Roman" w:hAnsi="Times New Roman" w:cs="Times New Roman"/>
          <w:sz w:val="24"/>
          <w:szCs w:val="24"/>
        </w:rPr>
        <w:t xml:space="preserve">dana </w:t>
      </w:r>
      <w:r w:rsidR="00BA56FD" w:rsidRPr="003A6D7B">
        <w:rPr>
          <w:rFonts w:ascii="Times New Roman" w:hAnsi="Times New Roman" w:cs="Times New Roman"/>
          <w:sz w:val="24"/>
          <w:szCs w:val="24"/>
        </w:rPr>
        <w:t>14. srpnja 2020. godine</w:t>
      </w:r>
      <w:r w:rsidR="008A6522" w:rsidRPr="003A6D7B">
        <w:rPr>
          <w:rFonts w:ascii="Times New Roman" w:hAnsi="Times New Roman" w:cs="Times New Roman"/>
          <w:sz w:val="24"/>
          <w:szCs w:val="24"/>
        </w:rPr>
        <w:t xml:space="preserve">, obveza uplate </w:t>
      </w:r>
      <w:r w:rsidR="00984057" w:rsidRPr="003A6D7B">
        <w:rPr>
          <w:rFonts w:ascii="Times New Roman" w:hAnsi="Times New Roman" w:cs="Times New Roman"/>
          <w:sz w:val="24"/>
          <w:szCs w:val="24"/>
        </w:rPr>
        <w:t xml:space="preserve">je </w:t>
      </w:r>
      <w:r w:rsidR="008A6522" w:rsidRPr="003A6D7B">
        <w:rPr>
          <w:rFonts w:ascii="Times New Roman" w:hAnsi="Times New Roman" w:cs="Times New Roman"/>
          <w:sz w:val="24"/>
          <w:szCs w:val="24"/>
        </w:rPr>
        <w:t>smanj</w:t>
      </w:r>
      <w:r w:rsidR="00984057" w:rsidRPr="003A6D7B">
        <w:rPr>
          <w:rFonts w:ascii="Times New Roman" w:hAnsi="Times New Roman" w:cs="Times New Roman"/>
          <w:sz w:val="24"/>
          <w:szCs w:val="24"/>
        </w:rPr>
        <w:t>ena</w:t>
      </w:r>
      <w:r w:rsidR="008A6522" w:rsidRPr="003A6D7B">
        <w:rPr>
          <w:rFonts w:ascii="Times New Roman" w:hAnsi="Times New Roman" w:cs="Times New Roman"/>
          <w:sz w:val="24"/>
          <w:szCs w:val="24"/>
        </w:rPr>
        <w:t xml:space="preserve"> za 4,49 mil. EUR i iznosi 9,76 mil. EUR. </w:t>
      </w:r>
      <w:r w:rsidR="00EA2BA2">
        <w:rPr>
          <w:rFonts w:ascii="Times New Roman" w:hAnsi="Times New Roman" w:cs="Times New Roman"/>
          <w:sz w:val="24"/>
          <w:szCs w:val="24"/>
        </w:rPr>
        <w:t xml:space="preserve">U skladu s tim, a temeljem Zakona </w:t>
      </w:r>
      <w:r w:rsidR="00EA2BA2" w:rsidRPr="003A6D7B">
        <w:rPr>
          <w:rFonts w:ascii="Times New Roman" w:hAnsi="Times New Roman" w:cs="Times New Roman"/>
          <w:sz w:val="24"/>
          <w:szCs w:val="24"/>
        </w:rPr>
        <w:t>o Fondu</w:t>
      </w:r>
      <w:r w:rsidR="00EA2BA2">
        <w:rPr>
          <w:rFonts w:ascii="Times New Roman" w:hAnsi="Times New Roman" w:cs="Times New Roman"/>
          <w:sz w:val="24"/>
          <w:szCs w:val="24"/>
        </w:rPr>
        <w:t xml:space="preserve">, donesena je nova </w:t>
      </w:r>
      <w:r w:rsidR="00EA2BA2" w:rsidRPr="00EA2BA2">
        <w:rPr>
          <w:rFonts w:ascii="Times New Roman" w:hAnsi="Times New Roman" w:cs="Times New Roman"/>
          <w:sz w:val="24"/>
          <w:szCs w:val="24"/>
        </w:rPr>
        <w:t>Uredba o iznosu, roku i načinu uplate sredstava za financiranje razgradnje i zbrinjavanja radioaktivnog otpada i istrošenoga nuklearnog goriva Nuklearne elektrane Krško</w:t>
      </w:r>
      <w:r w:rsidR="008A6522" w:rsidRPr="003A6D7B">
        <w:rPr>
          <w:rFonts w:ascii="Times New Roman" w:hAnsi="Times New Roman" w:cs="Times New Roman"/>
          <w:sz w:val="24"/>
          <w:szCs w:val="24"/>
        </w:rPr>
        <w:t xml:space="preserve"> </w:t>
      </w:r>
      <w:r w:rsidR="00EA2BA2">
        <w:rPr>
          <w:rFonts w:ascii="Times New Roman" w:hAnsi="Times New Roman" w:cs="Times New Roman"/>
          <w:sz w:val="24"/>
          <w:szCs w:val="24"/>
        </w:rPr>
        <w:t xml:space="preserve">(NN </w:t>
      </w:r>
      <w:r w:rsidR="00EA2BA2" w:rsidRPr="00EA2BA2">
        <w:rPr>
          <w:rFonts w:ascii="Times New Roman" w:hAnsi="Times New Roman" w:cs="Times New Roman"/>
          <w:sz w:val="24"/>
          <w:szCs w:val="24"/>
        </w:rPr>
        <w:t>156/2022</w:t>
      </w:r>
      <w:r w:rsidR="00EA2BA2">
        <w:rPr>
          <w:rFonts w:ascii="Times New Roman" w:hAnsi="Times New Roman" w:cs="Times New Roman"/>
          <w:sz w:val="24"/>
          <w:szCs w:val="24"/>
        </w:rPr>
        <w:t>) koja</w:t>
      </w:r>
      <w:r w:rsidR="00933629" w:rsidRPr="003A6D7B">
        <w:rPr>
          <w:rFonts w:ascii="Times New Roman" w:hAnsi="Times New Roman" w:cs="Times New Roman"/>
          <w:sz w:val="24"/>
          <w:szCs w:val="24"/>
        </w:rPr>
        <w:t xml:space="preserve"> </w:t>
      </w:r>
      <w:r w:rsidR="00EA2BA2">
        <w:rPr>
          <w:rFonts w:ascii="Times New Roman" w:hAnsi="Times New Roman" w:cs="Times New Roman"/>
          <w:sz w:val="24"/>
          <w:szCs w:val="24"/>
        </w:rPr>
        <w:t xml:space="preserve">je stupila na snagu 1. siječnja 2023. godine tj. </w:t>
      </w:r>
      <w:r w:rsidR="00933629" w:rsidRPr="003A6D7B">
        <w:rPr>
          <w:rFonts w:ascii="Times New Roman" w:hAnsi="Times New Roman" w:cs="Times New Roman"/>
          <w:sz w:val="24"/>
          <w:szCs w:val="24"/>
        </w:rPr>
        <w:t xml:space="preserve">gotovo 2,5 godina nakon usvajanja treće revizije Programa razgradnje i odlaganja. Razlog kašnjenju su izmjene dva zakona (Zakon o radiološkoj i nuklearnoj sigurnosti i Zakon o Fondu) koje su usvojene početkom 2022. godine i koje su bile preduvjet za donošenje </w:t>
      </w:r>
      <w:r w:rsidR="009152C6" w:rsidRPr="003A6D7B">
        <w:rPr>
          <w:rFonts w:ascii="Times New Roman" w:hAnsi="Times New Roman" w:cs="Times New Roman"/>
          <w:sz w:val="24"/>
          <w:szCs w:val="24"/>
        </w:rPr>
        <w:t xml:space="preserve">predmetne Uredbe. </w:t>
      </w:r>
      <w:r w:rsidR="00933629" w:rsidRPr="003A6D7B">
        <w:rPr>
          <w:rFonts w:ascii="Times New Roman" w:hAnsi="Times New Roman" w:cs="Times New Roman"/>
          <w:sz w:val="24"/>
          <w:szCs w:val="24"/>
        </w:rPr>
        <w:t xml:space="preserve">Prijedlog Uredbe stoga uvažava činjenicu da je HEP ukupno 10 </w:t>
      </w:r>
      <w:r w:rsidR="004D6ABE" w:rsidRPr="003A6D7B">
        <w:rPr>
          <w:rFonts w:ascii="Times New Roman" w:hAnsi="Times New Roman" w:cs="Times New Roman"/>
          <w:sz w:val="24"/>
          <w:szCs w:val="24"/>
        </w:rPr>
        <w:t xml:space="preserve">tromjesečja </w:t>
      </w:r>
      <w:r w:rsidR="00933629" w:rsidRPr="003A6D7B">
        <w:rPr>
          <w:rFonts w:ascii="Times New Roman" w:hAnsi="Times New Roman" w:cs="Times New Roman"/>
          <w:sz w:val="24"/>
          <w:szCs w:val="24"/>
        </w:rPr>
        <w:t>plaćao veći iznos Fond</w:t>
      </w:r>
      <w:r w:rsidR="009152C6" w:rsidRPr="003A6D7B">
        <w:rPr>
          <w:rFonts w:ascii="Times New Roman" w:hAnsi="Times New Roman" w:cs="Times New Roman"/>
          <w:sz w:val="24"/>
          <w:szCs w:val="24"/>
        </w:rPr>
        <w:t>u</w:t>
      </w:r>
      <w:r w:rsidR="00933629" w:rsidRPr="003A6D7B">
        <w:rPr>
          <w:rFonts w:ascii="Times New Roman" w:hAnsi="Times New Roman" w:cs="Times New Roman"/>
          <w:sz w:val="24"/>
          <w:szCs w:val="24"/>
        </w:rPr>
        <w:t xml:space="preserve"> (kvartalno 1,1225 m</w:t>
      </w:r>
      <w:r w:rsidR="004D6ABE" w:rsidRPr="003A6D7B">
        <w:rPr>
          <w:rFonts w:ascii="Times New Roman" w:hAnsi="Times New Roman" w:cs="Times New Roman"/>
          <w:sz w:val="24"/>
          <w:szCs w:val="24"/>
        </w:rPr>
        <w:t>il</w:t>
      </w:r>
      <w:r w:rsidR="00933629" w:rsidRPr="003A6D7B">
        <w:rPr>
          <w:rFonts w:ascii="Times New Roman" w:hAnsi="Times New Roman" w:cs="Times New Roman"/>
          <w:sz w:val="24"/>
          <w:szCs w:val="24"/>
        </w:rPr>
        <w:t xml:space="preserve"> EUR</w:t>
      </w:r>
      <w:r w:rsidR="004D6ABE" w:rsidRPr="003A6D7B">
        <w:rPr>
          <w:rFonts w:ascii="Times New Roman" w:hAnsi="Times New Roman" w:cs="Times New Roman"/>
          <w:sz w:val="24"/>
          <w:szCs w:val="24"/>
        </w:rPr>
        <w:t>, ukupno 11,225 mil. EUR)</w:t>
      </w:r>
      <w:r w:rsidR="00933629" w:rsidRPr="003A6D7B">
        <w:rPr>
          <w:rFonts w:ascii="Times New Roman" w:hAnsi="Times New Roman" w:cs="Times New Roman"/>
          <w:sz w:val="24"/>
          <w:szCs w:val="24"/>
        </w:rPr>
        <w:t xml:space="preserve"> te predviđa u narednih 10 </w:t>
      </w:r>
      <w:r w:rsidR="004D6ABE" w:rsidRPr="003A6D7B">
        <w:rPr>
          <w:rFonts w:ascii="Times New Roman" w:hAnsi="Times New Roman" w:cs="Times New Roman"/>
          <w:sz w:val="24"/>
          <w:szCs w:val="24"/>
        </w:rPr>
        <w:t xml:space="preserve">tromjesečja </w:t>
      </w:r>
      <w:r w:rsidR="00933629" w:rsidRPr="003A6D7B">
        <w:rPr>
          <w:rFonts w:ascii="Times New Roman" w:hAnsi="Times New Roman" w:cs="Times New Roman"/>
          <w:sz w:val="24"/>
          <w:szCs w:val="24"/>
        </w:rPr>
        <w:t xml:space="preserve">dodatno smanjenje HEP-ove obaveze. </w:t>
      </w:r>
    </w:p>
    <w:p w14:paraId="5A7F27FA" w14:textId="414ECAA4" w:rsidR="00933629" w:rsidRPr="003A6D7B" w:rsidRDefault="00933629"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Zaključno,  </w:t>
      </w:r>
      <w:r w:rsidR="004D6ABE" w:rsidRPr="003A6D7B">
        <w:rPr>
          <w:rFonts w:ascii="Times New Roman" w:hAnsi="Times New Roman" w:cs="Times New Roman"/>
          <w:sz w:val="24"/>
          <w:szCs w:val="24"/>
        </w:rPr>
        <w:t>o</w:t>
      </w:r>
      <w:r w:rsidR="009152C6" w:rsidRPr="003A6D7B">
        <w:rPr>
          <w:rFonts w:ascii="Times New Roman" w:hAnsi="Times New Roman" w:cs="Times New Roman"/>
          <w:sz w:val="24"/>
          <w:szCs w:val="24"/>
        </w:rPr>
        <w:t>bveza HEP-a će u 2023. i 2024. iznositi 5,27 mil. EUR, u 2025. 7,515 mil</w:t>
      </w:r>
      <w:r w:rsidR="004D6ABE" w:rsidRPr="003A6D7B">
        <w:rPr>
          <w:rFonts w:ascii="Times New Roman" w:hAnsi="Times New Roman" w:cs="Times New Roman"/>
          <w:sz w:val="24"/>
          <w:szCs w:val="24"/>
        </w:rPr>
        <w:t>.</w:t>
      </w:r>
      <w:r w:rsidR="009152C6" w:rsidRPr="003A6D7B">
        <w:rPr>
          <w:rFonts w:ascii="Times New Roman" w:hAnsi="Times New Roman" w:cs="Times New Roman"/>
          <w:sz w:val="24"/>
          <w:szCs w:val="24"/>
        </w:rPr>
        <w:t xml:space="preserve"> EUR i u narednim godinama</w:t>
      </w:r>
      <w:r w:rsidR="004D6ABE" w:rsidRPr="003A6D7B">
        <w:rPr>
          <w:rFonts w:ascii="Times New Roman" w:hAnsi="Times New Roman" w:cs="Times New Roman"/>
          <w:sz w:val="24"/>
          <w:szCs w:val="24"/>
        </w:rPr>
        <w:t>,</w:t>
      </w:r>
      <w:r w:rsidR="009152C6" w:rsidRPr="003A6D7B">
        <w:rPr>
          <w:rFonts w:ascii="Times New Roman" w:hAnsi="Times New Roman" w:cs="Times New Roman"/>
          <w:sz w:val="24"/>
          <w:szCs w:val="24"/>
        </w:rPr>
        <w:t xml:space="preserve"> do donošenja 4. revizije Programa razgradnje i programa odlaganja</w:t>
      </w:r>
      <w:r w:rsidR="00EA71FA" w:rsidRPr="003A6D7B">
        <w:rPr>
          <w:rFonts w:ascii="Times New Roman" w:hAnsi="Times New Roman" w:cs="Times New Roman"/>
          <w:sz w:val="24"/>
          <w:szCs w:val="24"/>
        </w:rPr>
        <w:t>,</w:t>
      </w:r>
      <w:r w:rsidR="009152C6" w:rsidRPr="003A6D7B">
        <w:rPr>
          <w:rFonts w:ascii="Times New Roman" w:hAnsi="Times New Roman" w:cs="Times New Roman"/>
          <w:sz w:val="24"/>
          <w:szCs w:val="24"/>
        </w:rPr>
        <w:t xml:space="preserve"> 9,76 mil. EUR.  </w:t>
      </w:r>
    </w:p>
    <w:p w14:paraId="66F3459E" w14:textId="54E79CE3" w:rsidR="00862A0E" w:rsidRPr="003A6D7B" w:rsidRDefault="00862A0E" w:rsidP="004D3913">
      <w:pPr>
        <w:spacing w:line="276" w:lineRule="auto"/>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Zakonom </w:t>
      </w:r>
      <w:r w:rsidR="001C7BF5" w:rsidRPr="003A6D7B">
        <w:rPr>
          <w:rFonts w:ascii="Times New Roman" w:hAnsi="Times New Roman" w:cs="Times New Roman"/>
          <w:color w:val="auto"/>
          <w:sz w:val="24"/>
          <w:szCs w:val="24"/>
        </w:rPr>
        <w:t xml:space="preserve">o izmjenama i dopunama Zakona o Fondu propisano je da se sredstva Fonda </w:t>
      </w:r>
      <w:r w:rsidRPr="003A6D7B">
        <w:rPr>
          <w:rFonts w:ascii="Times New Roman" w:hAnsi="Times New Roman" w:cs="Times New Roman"/>
          <w:color w:val="auto"/>
          <w:sz w:val="24"/>
          <w:szCs w:val="24"/>
        </w:rPr>
        <w:t xml:space="preserve">mogu koristiti za </w:t>
      </w:r>
      <w:r w:rsidR="001C7BF5" w:rsidRPr="003A6D7B">
        <w:rPr>
          <w:rFonts w:ascii="Times New Roman" w:hAnsi="Times New Roman" w:cs="Times New Roman"/>
          <w:color w:val="auto"/>
          <w:sz w:val="24"/>
          <w:szCs w:val="24"/>
        </w:rPr>
        <w:t>financiranje:</w:t>
      </w:r>
    </w:p>
    <w:p w14:paraId="6840992A" w14:textId="25089F8C" w:rsidR="00862A0E" w:rsidRPr="003A6D7B" w:rsidRDefault="001C7BF5" w:rsidP="00862A0E">
      <w:pPr>
        <w:spacing w:line="276" w:lineRule="auto"/>
        <w:ind w:left="708"/>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a) pripreme, izrade, revizije i provedbe Programa razgradnje i odlaganja, </w:t>
      </w:r>
    </w:p>
    <w:p w14:paraId="0C837D54" w14:textId="77777777" w:rsidR="00862A0E" w:rsidRPr="003A6D7B" w:rsidRDefault="001C7BF5" w:rsidP="00862A0E">
      <w:pPr>
        <w:spacing w:line="276" w:lineRule="auto"/>
        <w:ind w:left="708"/>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b) ustrojavanja, gradnje, održavanja, upravljanja i rada Centra za zbrinjavanje radioaktivnog otpada, </w:t>
      </w:r>
    </w:p>
    <w:p w14:paraId="16021DAD" w14:textId="77777777" w:rsidR="00862A0E" w:rsidRPr="003A6D7B" w:rsidRDefault="001C7BF5" w:rsidP="00862A0E">
      <w:pPr>
        <w:spacing w:line="276" w:lineRule="auto"/>
        <w:ind w:left="708"/>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c) zbrinjavanja i odlaganja radioaktivnog otpada i istrošenoga nuklearnog goriva iz Nuklearne elektrane Krško te razgradnju Nuklearne elektrane Krško, </w:t>
      </w:r>
    </w:p>
    <w:p w14:paraId="43EE5C65" w14:textId="77777777" w:rsidR="00862A0E" w:rsidRPr="003A6D7B" w:rsidRDefault="001C7BF5" w:rsidP="00862A0E">
      <w:pPr>
        <w:spacing w:line="276" w:lineRule="auto"/>
        <w:ind w:left="708"/>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d) zbrinjavanja radioaktivnog otpada i iskorištenih izvora podrijetlom s teritorija Republike Hrvatske, </w:t>
      </w:r>
    </w:p>
    <w:p w14:paraId="05EF3CAA" w14:textId="77777777" w:rsidR="00862A0E" w:rsidRPr="003A6D7B" w:rsidRDefault="001C7BF5" w:rsidP="00862A0E">
      <w:pPr>
        <w:spacing w:line="276" w:lineRule="auto"/>
        <w:ind w:left="708"/>
        <w:rPr>
          <w:rFonts w:ascii="Times New Roman" w:hAnsi="Times New Roman" w:cs="Times New Roman"/>
          <w:color w:val="auto"/>
          <w:sz w:val="24"/>
          <w:szCs w:val="24"/>
        </w:rPr>
      </w:pPr>
      <w:r w:rsidRPr="003A6D7B">
        <w:rPr>
          <w:rFonts w:ascii="Times New Roman" w:hAnsi="Times New Roman" w:cs="Times New Roman"/>
          <w:color w:val="auto"/>
          <w:sz w:val="24"/>
          <w:szCs w:val="24"/>
        </w:rPr>
        <w:lastRenderedPageBreak/>
        <w:t xml:space="preserve">e) naknada jedinicama lokalne i područne (regionalne) samouprave na čijem se području uspostavljaju ili nalaze građevine za zbrinjavanje radioaktivnog otpada u vlasništvu Fonda, te </w:t>
      </w:r>
    </w:p>
    <w:p w14:paraId="1CBA74D0" w14:textId="38201AF1" w:rsidR="00F77A26" w:rsidRPr="003A6D7B" w:rsidRDefault="001C7BF5" w:rsidP="00F77A26">
      <w:pPr>
        <w:spacing w:line="276" w:lineRule="auto"/>
        <w:ind w:left="708"/>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f) troškove poslovanja Fonda. </w:t>
      </w:r>
    </w:p>
    <w:p w14:paraId="1794788C" w14:textId="644C50C7" w:rsidR="001C7BF5" w:rsidRPr="003A6D7B" w:rsidRDefault="001C7BF5" w:rsidP="004D3913">
      <w:pPr>
        <w:spacing w:line="276" w:lineRule="auto"/>
        <w:rPr>
          <w:rFonts w:ascii="Times New Roman" w:hAnsi="Times New Roman" w:cs="Times New Roman"/>
          <w:color w:val="auto"/>
          <w:sz w:val="24"/>
          <w:szCs w:val="24"/>
        </w:rPr>
      </w:pPr>
      <w:r w:rsidRPr="003A6D7B">
        <w:rPr>
          <w:rFonts w:ascii="Times New Roman" w:hAnsi="Times New Roman" w:cs="Times New Roman"/>
          <w:color w:val="auto"/>
          <w:sz w:val="24"/>
          <w:szCs w:val="24"/>
        </w:rPr>
        <w:t xml:space="preserve">Zakonom o izmjenama i dopunama Zakona o Fondu </w:t>
      </w:r>
      <w:r w:rsidR="00862A0E" w:rsidRPr="003A6D7B">
        <w:rPr>
          <w:rFonts w:ascii="Times New Roman" w:hAnsi="Times New Roman" w:cs="Times New Roman"/>
          <w:color w:val="auto"/>
          <w:sz w:val="24"/>
          <w:szCs w:val="24"/>
        </w:rPr>
        <w:t xml:space="preserve">također je </w:t>
      </w:r>
      <w:r w:rsidRPr="003A6D7B">
        <w:rPr>
          <w:rFonts w:ascii="Times New Roman" w:hAnsi="Times New Roman" w:cs="Times New Roman"/>
          <w:color w:val="auto"/>
          <w:sz w:val="24"/>
          <w:szCs w:val="24"/>
        </w:rPr>
        <w:t xml:space="preserve">definirano da će Vlada uredbama odrediti način financiranja te visinu naknade i rokove plaćanja naknada zbrinjavanja radioaktivnog otpada i iskorištenih izvora podrijetlom s teritorija Republike Hrvatske kao i način i namjenu financiranja i visinu naknade jedinice lokalne i područne (regionalne) samouprave na čijem se području uspostavljaju ili nalaze građevine za zbrinjavanje radioaktivnog otpada u vlasništvu Fonda. Izuzetak od prethodno navedenog su sredstva za zbrinjavanje radioaktivnog otpada i iskorištenih izvora koji se skladište na Institutu za medicinska istraživanja i medicinu rada te Institutu Ruđer Bošković, kao i za razgradnju i/ili sanaciju navedenih istraživačkih objekata i skladišta, koja će biti osigurana u državnom proračunu. </w:t>
      </w:r>
      <w:r w:rsidR="00862A0E" w:rsidRPr="003A6D7B">
        <w:rPr>
          <w:rFonts w:ascii="Times New Roman" w:hAnsi="Times New Roman" w:cs="Times New Roman"/>
          <w:color w:val="auto"/>
          <w:sz w:val="24"/>
          <w:szCs w:val="24"/>
        </w:rPr>
        <w:t>Očekuje se da će navedene uredbe biti usvojene tijekom 2023. godine</w:t>
      </w:r>
      <w:r w:rsidRPr="003A6D7B">
        <w:rPr>
          <w:rFonts w:ascii="Times New Roman" w:hAnsi="Times New Roman" w:cs="Times New Roman"/>
          <w:color w:val="auto"/>
          <w:sz w:val="24"/>
          <w:szCs w:val="24"/>
        </w:rPr>
        <w:t>.</w:t>
      </w:r>
    </w:p>
    <w:p w14:paraId="092D2102" w14:textId="485DAE2A" w:rsidR="00F85BE6" w:rsidRPr="003A6D7B" w:rsidRDefault="00F85BE6"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Tijela Fonda su Upravni odbor i direktor. Predsjednika i članove Upravnog odbora imenuje Vlada Republike Hrvatske, a direktora imenuje Upravni odbor na temelju javnog natječaja. </w:t>
      </w:r>
    </w:p>
    <w:p w14:paraId="2357FE2E" w14:textId="0C98E17A" w:rsidR="00F85BE6" w:rsidRPr="003A6D7B" w:rsidRDefault="0014533F" w:rsidP="004D3913">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Rješenjem Vlade Republike Hrvatske </w:t>
      </w:r>
      <w:r w:rsidR="007D3589" w:rsidRPr="003A6D7B">
        <w:rPr>
          <w:rFonts w:ascii="Times New Roman" w:hAnsi="Times New Roman" w:cs="Times New Roman"/>
          <w:sz w:val="24"/>
          <w:szCs w:val="24"/>
        </w:rPr>
        <w:t xml:space="preserve">s 96. sjednice </w:t>
      </w:r>
      <w:r w:rsidRPr="003A6D7B">
        <w:rPr>
          <w:rFonts w:ascii="Times New Roman" w:hAnsi="Times New Roman" w:cs="Times New Roman"/>
          <w:sz w:val="24"/>
          <w:szCs w:val="24"/>
        </w:rPr>
        <w:t>održane 20. siječnja 2022. godine imenovani su članovi Upravnog odbora Fonda u sljedećem sastavu:</w:t>
      </w:r>
    </w:p>
    <w:p w14:paraId="28AC636C"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Ivo Milatić (predsjednik) Ministarstvo gospodarstva i održivog razvoja,</w:t>
      </w:r>
    </w:p>
    <w:p w14:paraId="786EFEDF"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Hana Zoričić, Ministarstvo financija,</w:t>
      </w:r>
    </w:p>
    <w:p w14:paraId="5534ACA4"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dr. sc. Vjekoslav Jukić, Ministarstvo gospodarstva i održivog razvoja,</w:t>
      </w:r>
    </w:p>
    <w:p w14:paraId="60D004B0"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dr. sc. Damir Trut, Ministarstvo unutarnjih poslova,</w:t>
      </w:r>
    </w:p>
    <w:p w14:paraId="2750D078"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mr. sc. Matjaž Prah, Hrvatska elektroprivreda d.d.,</w:t>
      </w:r>
    </w:p>
    <w:p w14:paraId="625A6116"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dr. sc. Marijana Ivanov, neovisna stručnjakinja iz područja financija,</w:t>
      </w:r>
    </w:p>
    <w:p w14:paraId="404B6C7F" w14:textId="77777777" w:rsidR="0014533F" w:rsidRPr="003A6D7B" w:rsidRDefault="0014533F" w:rsidP="0014533F">
      <w:pPr>
        <w:pStyle w:val="ListParagraph"/>
        <w:numPr>
          <w:ilvl w:val="0"/>
          <w:numId w:val="2"/>
        </w:numPr>
        <w:spacing w:line="276" w:lineRule="auto"/>
        <w:rPr>
          <w:rFonts w:ascii="Times New Roman" w:hAnsi="Times New Roman" w:cs="Times New Roman"/>
          <w:sz w:val="24"/>
          <w:szCs w:val="24"/>
        </w:rPr>
      </w:pPr>
      <w:r w:rsidRPr="003A6D7B">
        <w:rPr>
          <w:rFonts w:ascii="Times New Roman" w:hAnsi="Times New Roman" w:cs="Times New Roman"/>
          <w:sz w:val="24"/>
          <w:szCs w:val="24"/>
        </w:rPr>
        <w:t>Dražen Jakšić, neovisni stručnjak iz područja nuklearne energetike.</w:t>
      </w:r>
    </w:p>
    <w:p w14:paraId="138C32F9" w14:textId="4EB21D79" w:rsidR="003A23D6" w:rsidRPr="003A6D7B" w:rsidRDefault="0014533F" w:rsidP="00F85BE6">
      <w:pPr>
        <w:rPr>
          <w:rFonts w:ascii="Times New Roman" w:hAnsi="Times New Roman" w:cs="Times New Roman"/>
          <w:sz w:val="24"/>
          <w:szCs w:val="24"/>
        </w:rPr>
      </w:pPr>
      <w:r w:rsidRPr="003A6D7B">
        <w:rPr>
          <w:rFonts w:ascii="Times New Roman" w:hAnsi="Times New Roman" w:cs="Times New Roman"/>
          <w:sz w:val="24"/>
          <w:szCs w:val="24"/>
        </w:rPr>
        <w:t>30. ožujka 2022. godine Upravni odbor Fonda imenovao je za direktora Fonda mr. sc. Josipa Lebegnera koji je na tu dužnost stupio 4. svibnja 2022.</w:t>
      </w:r>
    </w:p>
    <w:p w14:paraId="2C088E03" w14:textId="77777777" w:rsidR="00862A0E" w:rsidRPr="003A6D7B" w:rsidRDefault="00862A0E" w:rsidP="00F85BE6">
      <w:pPr>
        <w:rPr>
          <w:rFonts w:ascii="Times New Roman" w:hAnsi="Times New Roman" w:cs="Times New Roman"/>
        </w:rPr>
      </w:pPr>
    </w:p>
    <w:p w14:paraId="44727765" w14:textId="77777777" w:rsidR="00CD290C" w:rsidRDefault="00CD290C">
      <w:pPr>
        <w:spacing w:after="160"/>
        <w:jc w:val="left"/>
        <w:rPr>
          <w:rFonts w:ascii="Times New Roman" w:hAnsi="Times New Roman" w:cs="Times New Roman"/>
          <w:color w:val="595959" w:themeColor="text1" w:themeTint="A6"/>
          <w:sz w:val="44"/>
          <w:szCs w:val="56"/>
        </w:rPr>
      </w:pPr>
      <w:r>
        <w:br w:type="page"/>
      </w:r>
    </w:p>
    <w:p w14:paraId="5645C0B2" w14:textId="1E51D559" w:rsidR="00F85BE6" w:rsidRPr="003A6D7B" w:rsidRDefault="00F85BE6" w:rsidP="00AF4F25">
      <w:pPr>
        <w:pStyle w:val="Heading1"/>
      </w:pPr>
      <w:bookmarkStart w:id="9" w:name="_Toc130809343"/>
      <w:r w:rsidRPr="003A6D7B">
        <w:lastRenderedPageBreak/>
        <w:t>Program rada</w:t>
      </w:r>
      <w:bookmarkEnd w:id="9"/>
    </w:p>
    <w:p w14:paraId="15FD3AC1" w14:textId="77777777" w:rsidR="00F85BE6" w:rsidRPr="003A6D7B" w:rsidRDefault="00F85BE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Program rada Fonda obuhvaća sljedeće osnovne grupe poslova: </w:t>
      </w:r>
    </w:p>
    <w:p w14:paraId="2EC3A933" w14:textId="39050B20" w:rsidR="00F85BE6" w:rsidRPr="003A6D7B" w:rsidRDefault="00F85BE6"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upravljanje financijskom imovinom Fonda,</w:t>
      </w:r>
    </w:p>
    <w:p w14:paraId="3B7223AE" w14:textId="3533EE9E" w:rsidR="00F85BE6" w:rsidRPr="003A6D7B" w:rsidRDefault="00F85BE6"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izrad</w:t>
      </w:r>
      <w:r w:rsidR="00597B9F" w:rsidRPr="003A6D7B">
        <w:rPr>
          <w:rFonts w:ascii="Times New Roman" w:hAnsi="Times New Roman" w:cs="Times New Roman"/>
          <w:sz w:val="24"/>
          <w:szCs w:val="24"/>
        </w:rPr>
        <w:t>a</w:t>
      </w:r>
      <w:r w:rsidRPr="003A6D7B">
        <w:rPr>
          <w:rFonts w:ascii="Times New Roman" w:hAnsi="Times New Roman" w:cs="Times New Roman"/>
          <w:sz w:val="24"/>
          <w:szCs w:val="24"/>
        </w:rPr>
        <w:t xml:space="preserve"> i provedb</w:t>
      </w:r>
      <w:r w:rsidR="00597B9F" w:rsidRPr="003A6D7B">
        <w:rPr>
          <w:rFonts w:ascii="Times New Roman" w:hAnsi="Times New Roman" w:cs="Times New Roman"/>
          <w:sz w:val="24"/>
          <w:szCs w:val="24"/>
        </w:rPr>
        <w:t>a</w:t>
      </w:r>
      <w:r w:rsidRPr="003A6D7B">
        <w:rPr>
          <w:rFonts w:ascii="Times New Roman" w:hAnsi="Times New Roman" w:cs="Times New Roman"/>
          <w:sz w:val="24"/>
          <w:szCs w:val="24"/>
        </w:rPr>
        <w:t xml:space="preserve"> Programa razgradnje i odlaganja radioaktivnog otpada i istrošenoga nuklearnog goriva N</w:t>
      </w:r>
      <w:r w:rsidR="00400A3D" w:rsidRPr="003A6D7B">
        <w:rPr>
          <w:rFonts w:ascii="Times New Roman" w:hAnsi="Times New Roman" w:cs="Times New Roman"/>
          <w:sz w:val="24"/>
          <w:szCs w:val="24"/>
        </w:rPr>
        <w:t>E</w:t>
      </w:r>
      <w:r w:rsidRPr="003A6D7B">
        <w:rPr>
          <w:rFonts w:ascii="Times New Roman" w:hAnsi="Times New Roman" w:cs="Times New Roman"/>
          <w:sz w:val="24"/>
          <w:szCs w:val="24"/>
        </w:rPr>
        <w:t xml:space="preserve"> Krško, </w:t>
      </w:r>
    </w:p>
    <w:p w14:paraId="6D1B9791" w14:textId="11B2E0E8" w:rsidR="00941532" w:rsidRPr="003A6D7B" w:rsidRDefault="00941532"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provedb</w:t>
      </w:r>
      <w:r w:rsidR="00597B9F" w:rsidRPr="003A6D7B">
        <w:rPr>
          <w:rFonts w:ascii="Times New Roman" w:hAnsi="Times New Roman" w:cs="Times New Roman"/>
          <w:sz w:val="24"/>
          <w:szCs w:val="24"/>
        </w:rPr>
        <w:t>a</w:t>
      </w:r>
      <w:r w:rsidRPr="003A6D7B">
        <w:rPr>
          <w:rFonts w:ascii="Times New Roman" w:hAnsi="Times New Roman" w:cs="Times New Roman"/>
          <w:sz w:val="24"/>
          <w:szCs w:val="24"/>
        </w:rPr>
        <w:t xml:space="preserve"> Nacionalnog programa </w:t>
      </w:r>
      <w:r w:rsidR="00DA6E24" w:rsidRPr="003A6D7B">
        <w:rPr>
          <w:rFonts w:ascii="Times New Roman" w:hAnsi="Times New Roman" w:cs="Times New Roman"/>
          <w:sz w:val="24"/>
          <w:szCs w:val="24"/>
        </w:rPr>
        <w:t>provedbe Strategije zbrinjavanja radioaktivnog otpada, iskorištenih izvora i istrošenog nuklearnog goriva</w:t>
      </w:r>
      <w:r w:rsidR="00400A3D" w:rsidRPr="003A6D7B">
        <w:rPr>
          <w:rFonts w:ascii="Times New Roman" w:hAnsi="Times New Roman" w:cs="Times New Roman"/>
          <w:sz w:val="24"/>
          <w:szCs w:val="24"/>
        </w:rPr>
        <w:t>,</w:t>
      </w:r>
    </w:p>
    <w:p w14:paraId="24CF94D7" w14:textId="1A34D28D" w:rsidR="00F85BE6" w:rsidRPr="003A6D7B" w:rsidRDefault="00F85BE6"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uspostav</w:t>
      </w:r>
      <w:r w:rsidR="00597B9F" w:rsidRPr="003A6D7B">
        <w:rPr>
          <w:rFonts w:ascii="Times New Roman" w:hAnsi="Times New Roman" w:cs="Times New Roman"/>
          <w:sz w:val="24"/>
          <w:szCs w:val="24"/>
        </w:rPr>
        <w:t>a</w:t>
      </w:r>
      <w:r w:rsidRPr="003A6D7B">
        <w:rPr>
          <w:rFonts w:ascii="Times New Roman" w:hAnsi="Times New Roman" w:cs="Times New Roman"/>
          <w:sz w:val="24"/>
          <w:szCs w:val="24"/>
        </w:rPr>
        <w:t xml:space="preserve"> Centra za zbrinjavanje radioaktivnog otpada,</w:t>
      </w:r>
    </w:p>
    <w:p w14:paraId="5CDA1A34" w14:textId="0FF885D7" w:rsidR="00941532" w:rsidRPr="003A6D7B" w:rsidRDefault="00941532"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zbrinjavanje institucionalnog radioaktivnog otpada i iskorištenih izvora</w:t>
      </w:r>
      <w:r w:rsidR="00400A3D" w:rsidRPr="003A6D7B">
        <w:rPr>
          <w:rFonts w:ascii="Times New Roman" w:hAnsi="Times New Roman" w:cs="Times New Roman"/>
          <w:sz w:val="24"/>
          <w:szCs w:val="24"/>
        </w:rPr>
        <w:t xml:space="preserve"> te </w:t>
      </w:r>
    </w:p>
    <w:p w14:paraId="4B18BBE1" w14:textId="159A8C25" w:rsidR="00941532" w:rsidRPr="003A6D7B" w:rsidRDefault="00400A3D"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z</w:t>
      </w:r>
      <w:r w:rsidR="00941532" w:rsidRPr="003A6D7B">
        <w:rPr>
          <w:rFonts w:ascii="Times New Roman" w:hAnsi="Times New Roman" w:cs="Times New Roman"/>
          <w:sz w:val="24"/>
          <w:szCs w:val="24"/>
        </w:rPr>
        <w:t>brinjavanje nisko i srednje radioaktivnog opada iz NE Krško</w:t>
      </w:r>
      <w:r w:rsidRPr="003A6D7B">
        <w:rPr>
          <w:rFonts w:ascii="Times New Roman" w:hAnsi="Times New Roman" w:cs="Times New Roman"/>
          <w:sz w:val="24"/>
          <w:szCs w:val="24"/>
        </w:rPr>
        <w:t>,</w:t>
      </w:r>
    </w:p>
    <w:p w14:paraId="12E185B8" w14:textId="3D0203FA" w:rsidR="00597B9F" w:rsidRPr="003A6D7B" w:rsidRDefault="00597B9F" w:rsidP="00597B9F">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edukacija i razvoj ljudskih potencijala,</w:t>
      </w:r>
    </w:p>
    <w:p w14:paraId="4A8DD2A6" w14:textId="748D2E7E" w:rsidR="00F85BE6" w:rsidRPr="003A6D7B" w:rsidRDefault="00F85BE6"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odnos</w:t>
      </w:r>
      <w:r w:rsidR="00597B9F" w:rsidRPr="003A6D7B">
        <w:rPr>
          <w:rFonts w:ascii="Times New Roman" w:hAnsi="Times New Roman" w:cs="Times New Roman"/>
          <w:sz w:val="24"/>
          <w:szCs w:val="24"/>
        </w:rPr>
        <w:t>i</w:t>
      </w:r>
      <w:r w:rsidRPr="003A6D7B">
        <w:rPr>
          <w:rFonts w:ascii="Times New Roman" w:hAnsi="Times New Roman" w:cs="Times New Roman"/>
          <w:sz w:val="24"/>
          <w:szCs w:val="24"/>
        </w:rPr>
        <w:t xml:space="preserve"> s javnošću</w:t>
      </w:r>
      <w:r w:rsidR="00597B9F" w:rsidRPr="003A6D7B">
        <w:rPr>
          <w:rFonts w:ascii="Times New Roman" w:hAnsi="Times New Roman" w:cs="Times New Roman"/>
          <w:sz w:val="24"/>
          <w:szCs w:val="24"/>
        </w:rPr>
        <w:t xml:space="preserve"> i</w:t>
      </w:r>
    </w:p>
    <w:p w14:paraId="06E7CD00" w14:textId="497E7EF3" w:rsidR="00F85BE6" w:rsidRPr="003A6D7B" w:rsidRDefault="00F85BE6" w:rsidP="0076355A">
      <w:pPr>
        <w:pStyle w:val="ListParagraph"/>
        <w:numPr>
          <w:ilvl w:val="0"/>
          <w:numId w:val="10"/>
        </w:numPr>
        <w:spacing w:line="276" w:lineRule="auto"/>
        <w:rPr>
          <w:rFonts w:ascii="Times New Roman" w:hAnsi="Times New Roman" w:cs="Times New Roman"/>
          <w:sz w:val="24"/>
          <w:szCs w:val="24"/>
        </w:rPr>
      </w:pPr>
      <w:r w:rsidRPr="003A6D7B">
        <w:rPr>
          <w:rFonts w:ascii="Times New Roman" w:hAnsi="Times New Roman" w:cs="Times New Roman"/>
          <w:sz w:val="24"/>
          <w:szCs w:val="24"/>
        </w:rPr>
        <w:t>ostal</w:t>
      </w:r>
      <w:r w:rsidR="00597B9F" w:rsidRPr="003A6D7B">
        <w:rPr>
          <w:rFonts w:ascii="Times New Roman" w:hAnsi="Times New Roman" w:cs="Times New Roman"/>
          <w:sz w:val="24"/>
          <w:szCs w:val="24"/>
        </w:rPr>
        <w:t>i</w:t>
      </w:r>
      <w:r w:rsidRPr="003A6D7B">
        <w:rPr>
          <w:rFonts w:ascii="Times New Roman" w:hAnsi="Times New Roman" w:cs="Times New Roman"/>
          <w:sz w:val="24"/>
          <w:szCs w:val="24"/>
        </w:rPr>
        <w:t xml:space="preserve"> poslov</w:t>
      </w:r>
      <w:r w:rsidR="00597B9F" w:rsidRPr="003A6D7B">
        <w:rPr>
          <w:rFonts w:ascii="Times New Roman" w:hAnsi="Times New Roman" w:cs="Times New Roman"/>
          <w:sz w:val="24"/>
          <w:szCs w:val="24"/>
        </w:rPr>
        <w:t>i</w:t>
      </w:r>
      <w:r w:rsidRPr="003A6D7B">
        <w:rPr>
          <w:rFonts w:ascii="Times New Roman" w:hAnsi="Times New Roman" w:cs="Times New Roman"/>
          <w:sz w:val="24"/>
          <w:szCs w:val="24"/>
        </w:rPr>
        <w:t xml:space="preserve"> Fonda.</w:t>
      </w:r>
    </w:p>
    <w:p w14:paraId="7155AA15" w14:textId="77777777" w:rsidR="009D0DBE" w:rsidRPr="003A6D7B" w:rsidRDefault="009D0DBE" w:rsidP="009D0DBE">
      <w:pPr>
        <w:rPr>
          <w:rFonts w:ascii="Times New Roman" w:hAnsi="Times New Roman" w:cs="Times New Roman"/>
        </w:rPr>
      </w:pPr>
    </w:p>
    <w:p w14:paraId="37EA63C4" w14:textId="5081AE9F" w:rsidR="00075619" w:rsidRPr="003A6D7B" w:rsidRDefault="003A23D6" w:rsidP="003A23D6">
      <w:pPr>
        <w:pStyle w:val="Heading2"/>
        <w:rPr>
          <w:rFonts w:ascii="Times New Roman" w:hAnsi="Times New Roman" w:cs="Times New Roman"/>
        </w:rPr>
      </w:pPr>
      <w:bookmarkStart w:id="10" w:name="_Toc130809344"/>
      <w:r w:rsidRPr="003A6D7B">
        <w:rPr>
          <w:rFonts w:ascii="Times New Roman" w:hAnsi="Times New Roman" w:cs="Times New Roman"/>
        </w:rPr>
        <w:t>Upravljanje financijskom imovinom Fonda</w:t>
      </w:r>
      <w:bookmarkEnd w:id="10"/>
    </w:p>
    <w:p w14:paraId="0B546078" w14:textId="298BA272" w:rsidR="003A23D6" w:rsidRPr="003A6D7B" w:rsidRDefault="003A23D6" w:rsidP="00902811">
      <w:pPr>
        <w:spacing w:line="276" w:lineRule="auto"/>
        <w:rPr>
          <w:rFonts w:ascii="Times New Roman" w:hAnsi="Times New Roman" w:cs="Times New Roman"/>
          <w:color w:val="auto"/>
          <w:sz w:val="24"/>
          <w:szCs w:val="24"/>
        </w:rPr>
      </w:pPr>
      <w:bookmarkStart w:id="11" w:name="_Toc352136809"/>
      <w:r w:rsidRPr="003A6D7B">
        <w:rPr>
          <w:rFonts w:ascii="Times New Roman" w:hAnsi="Times New Roman" w:cs="Times New Roman"/>
          <w:sz w:val="24"/>
          <w:szCs w:val="24"/>
        </w:rPr>
        <w:t>Za financiranje izrade, revizije i provedbe Programa razgradnje NE Krško i odlaganja RAO-a i ING-a potrebna su značajna sredstva, koja se, sukladno Uredbi o načinu uplate sredstava za financiranje razgradnje i zbrinjavanja radioaktivnog otpada i istrošenoga nuklearnog goriva NE Krško prikupljaju uplatama Hrvatske elektroprivrede d.d.</w:t>
      </w:r>
      <w:r w:rsidR="002600D7" w:rsidRPr="003A6D7B">
        <w:rPr>
          <w:rFonts w:ascii="Times New Roman" w:hAnsi="Times New Roman" w:cs="Times New Roman"/>
          <w:sz w:val="24"/>
          <w:szCs w:val="24"/>
        </w:rPr>
        <w:t xml:space="preserve"> </w:t>
      </w:r>
      <w:r w:rsidR="0076355A" w:rsidRPr="003A6D7B">
        <w:rPr>
          <w:rFonts w:ascii="Times New Roman" w:hAnsi="Times New Roman" w:cs="Times New Roman"/>
          <w:color w:val="auto"/>
          <w:sz w:val="24"/>
          <w:szCs w:val="24"/>
        </w:rPr>
        <w:t xml:space="preserve">U tijeku je postupak  izmjene </w:t>
      </w:r>
      <w:r w:rsidR="004A7DBF" w:rsidRPr="003A6D7B">
        <w:rPr>
          <w:rFonts w:ascii="Times New Roman" w:hAnsi="Times New Roman" w:cs="Times New Roman"/>
          <w:color w:val="auto"/>
          <w:sz w:val="24"/>
          <w:szCs w:val="24"/>
        </w:rPr>
        <w:t xml:space="preserve">Uredbe o iznosu, roku i načinu uplate sredstava za financiranje razgradnje i zbrinjavanja radioaktivnog otpada i istrošenoga nuklearnog goriva Nuklearne elektrane Krško. Po njenom usvajanju očekuje se da će se obveza HEP-a prema Fondu značajno smanjiti. </w:t>
      </w:r>
    </w:p>
    <w:p w14:paraId="3F05A58C" w14:textId="03BEABBE"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Sukladno odredbama Zakona</w:t>
      </w:r>
      <w:r w:rsidR="0076355A" w:rsidRPr="003A6D7B">
        <w:rPr>
          <w:rFonts w:ascii="Times New Roman" w:hAnsi="Times New Roman" w:cs="Times New Roman"/>
          <w:sz w:val="24"/>
          <w:szCs w:val="24"/>
        </w:rPr>
        <w:t xml:space="preserve"> o Fondu </w:t>
      </w:r>
      <w:r w:rsidRPr="003A6D7B">
        <w:rPr>
          <w:rFonts w:ascii="Times New Roman" w:hAnsi="Times New Roman" w:cs="Times New Roman"/>
          <w:sz w:val="24"/>
          <w:szCs w:val="24"/>
        </w:rPr>
        <w:t>i Statuta Fonda, a u svrhu očuvanja i povećanja vrijednosti, sredstva se mogu ulagati u vrijednosne papire, depozite i druge plasmane uz uvažavanje načela:</w:t>
      </w:r>
    </w:p>
    <w:p w14:paraId="56ACD069"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sigurnosti ulaganja,</w:t>
      </w:r>
    </w:p>
    <w:p w14:paraId="3EC44335"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raznolikosti ulaganja,</w:t>
      </w:r>
    </w:p>
    <w:p w14:paraId="0A5313C9"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održavanja tekuće likvidnosti, i</w:t>
      </w:r>
    </w:p>
    <w:p w14:paraId="302ABD18"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ostvarivanja konkurentnog prinosa na uložena sredstva.</w:t>
      </w:r>
    </w:p>
    <w:p w14:paraId="72A50899" w14:textId="14206B5F"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U svrhu ostvarivanja navedenih načela ulaganja Fond </w:t>
      </w:r>
      <w:r w:rsidR="00597B9F" w:rsidRPr="003A6D7B">
        <w:rPr>
          <w:rFonts w:ascii="Times New Roman" w:hAnsi="Times New Roman" w:cs="Times New Roman"/>
          <w:sz w:val="24"/>
          <w:szCs w:val="24"/>
        </w:rPr>
        <w:t xml:space="preserve">će i u 2023. </w:t>
      </w:r>
      <w:r w:rsidRPr="003A6D7B">
        <w:rPr>
          <w:rFonts w:ascii="Times New Roman" w:hAnsi="Times New Roman" w:cs="Times New Roman"/>
          <w:sz w:val="24"/>
          <w:szCs w:val="24"/>
        </w:rPr>
        <w:t xml:space="preserve">kontinuirano: </w:t>
      </w:r>
    </w:p>
    <w:p w14:paraId="4047CF57" w14:textId="0416BB0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prati</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stanje i procjenjuje trendove razvoja gospodarstava, </w:t>
      </w:r>
    </w:p>
    <w:p w14:paraId="1DEA1CE4" w14:textId="7B7A0FBC"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lastRenderedPageBreak/>
        <w:t>prati</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globalno tržište i ekonomska zbivanja,</w:t>
      </w:r>
    </w:p>
    <w:p w14:paraId="396319F7" w14:textId="51610209"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sudjel</w:t>
      </w:r>
      <w:r w:rsidR="00597B9F" w:rsidRPr="003A6D7B">
        <w:rPr>
          <w:rFonts w:ascii="Times New Roman" w:hAnsi="Times New Roman" w:cs="Times New Roman"/>
          <w:sz w:val="24"/>
          <w:szCs w:val="24"/>
        </w:rPr>
        <w:t>ovati</w:t>
      </w:r>
      <w:r w:rsidRPr="003A6D7B">
        <w:rPr>
          <w:rFonts w:ascii="Times New Roman" w:hAnsi="Times New Roman" w:cs="Times New Roman"/>
          <w:sz w:val="24"/>
          <w:szCs w:val="24"/>
        </w:rPr>
        <w:t xml:space="preserve"> na sjednicama Glavne skupštine izdavatelja vrijednosnih papira koji su u portfelju Fonda,</w:t>
      </w:r>
    </w:p>
    <w:p w14:paraId="29E7E8FB" w14:textId="2C059006" w:rsidR="003A23D6" w:rsidRPr="003A6D7B" w:rsidRDefault="00597B9F"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pratiti </w:t>
      </w:r>
      <w:r w:rsidR="003A23D6" w:rsidRPr="003A6D7B">
        <w:rPr>
          <w:rFonts w:ascii="Times New Roman" w:hAnsi="Times New Roman" w:cs="Times New Roman"/>
          <w:sz w:val="24"/>
          <w:szCs w:val="24"/>
        </w:rPr>
        <w:t xml:space="preserve">stanje financijskih kretanja na tržištu vrijednosnih papira u zemlji i inozemstvu, </w:t>
      </w:r>
    </w:p>
    <w:p w14:paraId="40E1AD44" w14:textId="143A8D00" w:rsidR="003A23D6" w:rsidRPr="003A6D7B" w:rsidRDefault="00597B9F"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pratiti </w:t>
      </w:r>
      <w:r w:rsidR="003A23D6" w:rsidRPr="003A6D7B">
        <w:rPr>
          <w:rFonts w:ascii="Times New Roman" w:hAnsi="Times New Roman" w:cs="Times New Roman"/>
          <w:sz w:val="24"/>
          <w:szCs w:val="24"/>
        </w:rPr>
        <w:t>i analizira stanja investicijskih fondova u zemlji i inozemstvu,</w:t>
      </w:r>
    </w:p>
    <w:p w14:paraId="2CC0D981" w14:textId="238A7186" w:rsidR="003A23D6" w:rsidRPr="003A6D7B" w:rsidRDefault="00597B9F"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pratiti </w:t>
      </w:r>
      <w:r w:rsidR="003A23D6" w:rsidRPr="003A6D7B">
        <w:rPr>
          <w:rFonts w:ascii="Times New Roman" w:hAnsi="Times New Roman" w:cs="Times New Roman"/>
          <w:sz w:val="24"/>
          <w:szCs w:val="24"/>
        </w:rPr>
        <w:t>pokazatelje poslovanja izdavatelja dužničkih i vlasničkih vrijednosnih papira iz portfelja Fonda,</w:t>
      </w:r>
    </w:p>
    <w:p w14:paraId="7D64EE7F" w14:textId="43CA832A" w:rsidR="003A23D6" w:rsidRPr="003A6D7B" w:rsidRDefault="00597B9F"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pratiti </w:t>
      </w:r>
      <w:r w:rsidR="003A23D6" w:rsidRPr="003A6D7B">
        <w:rPr>
          <w:rFonts w:ascii="Times New Roman" w:hAnsi="Times New Roman" w:cs="Times New Roman"/>
          <w:sz w:val="24"/>
          <w:szCs w:val="24"/>
        </w:rPr>
        <w:t>pokazatelje poslovanja i uspješnosti kreditnih institucija prema podacima HNB-a i drugim dostupnim javnim podacima,</w:t>
      </w:r>
    </w:p>
    <w:p w14:paraId="241E66AA" w14:textId="019A7A51"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ula</w:t>
      </w:r>
      <w:r w:rsidR="00597B9F" w:rsidRPr="003A6D7B">
        <w:rPr>
          <w:rFonts w:ascii="Times New Roman" w:hAnsi="Times New Roman" w:cs="Times New Roman"/>
          <w:sz w:val="24"/>
          <w:szCs w:val="24"/>
        </w:rPr>
        <w:t>gati</w:t>
      </w:r>
      <w:r w:rsidRPr="003A6D7B">
        <w:rPr>
          <w:rFonts w:ascii="Times New Roman" w:hAnsi="Times New Roman" w:cs="Times New Roman"/>
          <w:sz w:val="24"/>
          <w:szCs w:val="24"/>
        </w:rPr>
        <w:t xml:space="preserve"> sredstva u pojedine financijske instrumente, vodeći računa o ograničenjima propisanima Statutom i Investicijskom politikom Fonda,</w:t>
      </w:r>
    </w:p>
    <w:p w14:paraId="3D554A38" w14:textId="76638274"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obavlja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poslove vezane uz rad s investicijskim društvima (daje naloge brokerima za prodaju ili kupnju vrijednosnih papira, obavlja postupke konfirmacije i ispravljanja grešaka u vezi s danim nalozima, ažurno i vjerodostojno vodi evidencije svih izdanih naloga brokerima u zajedničkoj knjizi izdanih naloga, kontrolira provedbu svih naloga brokeru od izdavanja naloga do potpunog izvršenja transakcije ili obustave izdanog naloga, dnevno vodi evidencije o provedbi naloga brokerima i sastavlja dnevno izvješće o stanju provedbe naloga), </w:t>
      </w:r>
    </w:p>
    <w:p w14:paraId="0C0D249B" w14:textId="5CD56B5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obavlja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dnevni unos poslovnih i financijskih podataka u aplikaciju za vođenje portfelja Fonda (transakcije s financijskim instrumentima, dnevni izračun vrijednosti financijskih instrumenata i portfelja, pregled svih transakcija i interaktivni pregled strukture portfelja, automatsko knjiženje svih transakcija, i dr.),</w:t>
      </w:r>
    </w:p>
    <w:p w14:paraId="6F42151D" w14:textId="148238AF"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obavlja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poslove u vezi s izvršenjem transakcija na deviznom tržištu i depozitnih transakcija,</w:t>
      </w:r>
    </w:p>
    <w:p w14:paraId="5530EC53" w14:textId="30C3CFE2"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izračunava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vrijednosti imovine Fonda, te njihovo usklađivanje s izračunima depozitne banke,</w:t>
      </w:r>
    </w:p>
    <w:p w14:paraId="50E7107B" w14:textId="61031502"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izrađ</w:t>
      </w:r>
      <w:r w:rsidR="00597B9F" w:rsidRPr="003A6D7B">
        <w:rPr>
          <w:rFonts w:ascii="Times New Roman" w:hAnsi="Times New Roman" w:cs="Times New Roman"/>
          <w:sz w:val="24"/>
          <w:szCs w:val="24"/>
        </w:rPr>
        <w:t>ivati</w:t>
      </w:r>
      <w:r w:rsidRPr="003A6D7B">
        <w:rPr>
          <w:rFonts w:ascii="Times New Roman" w:hAnsi="Times New Roman" w:cs="Times New Roman"/>
          <w:sz w:val="24"/>
          <w:szCs w:val="24"/>
        </w:rPr>
        <w:t xml:space="preserve"> interne izvještaje,</w:t>
      </w:r>
    </w:p>
    <w:p w14:paraId="4B7020D7" w14:textId="00BBC8DE"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izračunava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neto vrijednosti imovine Fonda,</w:t>
      </w:r>
    </w:p>
    <w:p w14:paraId="27A8B000" w14:textId="3B6D8025"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izračunava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uspješnost ulaganja Fonda,</w:t>
      </w:r>
    </w:p>
    <w:p w14:paraId="0D74A5F4" w14:textId="2A3B43FB"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vodi</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računovodstveno-knjigovodstvene poslove Fonda,</w:t>
      </w:r>
    </w:p>
    <w:p w14:paraId="4F0F2CB9" w14:textId="5B8DC195"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obavlja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poslove platnog prometa,</w:t>
      </w:r>
    </w:p>
    <w:p w14:paraId="1433A00F" w14:textId="7C018DFB"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obavlja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poslove evidentiranja portfelja Fonda,</w:t>
      </w:r>
    </w:p>
    <w:p w14:paraId="1B9013AD" w14:textId="3831A09D"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rješava</w:t>
      </w:r>
      <w:r w:rsidR="00597B9F" w:rsidRPr="003A6D7B">
        <w:rPr>
          <w:rFonts w:ascii="Times New Roman" w:hAnsi="Times New Roman" w:cs="Times New Roman"/>
          <w:sz w:val="24"/>
          <w:szCs w:val="24"/>
        </w:rPr>
        <w:t>ti</w:t>
      </w:r>
      <w:r w:rsidRPr="003A6D7B">
        <w:rPr>
          <w:rFonts w:ascii="Times New Roman" w:hAnsi="Times New Roman" w:cs="Times New Roman"/>
          <w:sz w:val="24"/>
          <w:szCs w:val="24"/>
        </w:rPr>
        <w:t xml:space="preserve"> postupke namire.</w:t>
      </w:r>
    </w:p>
    <w:p w14:paraId="6A1B8648" w14:textId="77777777" w:rsidR="009D0DBE" w:rsidRPr="003A6D7B" w:rsidRDefault="009D0DBE" w:rsidP="009D0DBE">
      <w:pPr>
        <w:rPr>
          <w:rFonts w:ascii="Times New Roman" w:hAnsi="Times New Roman" w:cs="Times New Roman"/>
        </w:rPr>
      </w:pPr>
    </w:p>
    <w:p w14:paraId="0B31C32D" w14:textId="495D7107" w:rsidR="003A23D6" w:rsidRPr="003A6D7B" w:rsidRDefault="003A23D6" w:rsidP="00F11480">
      <w:pPr>
        <w:pStyle w:val="Heading2"/>
        <w:jc w:val="left"/>
        <w:rPr>
          <w:rFonts w:ascii="Times New Roman" w:hAnsi="Times New Roman" w:cs="Times New Roman"/>
        </w:rPr>
      </w:pPr>
      <w:bookmarkStart w:id="12" w:name="_Toc130809345"/>
      <w:bookmarkEnd w:id="11"/>
      <w:r w:rsidRPr="003A6D7B">
        <w:rPr>
          <w:rFonts w:ascii="Times New Roman" w:hAnsi="Times New Roman" w:cs="Times New Roman"/>
        </w:rPr>
        <w:lastRenderedPageBreak/>
        <w:t>Revizija Programa razgradnje i Programa odlaganja</w:t>
      </w:r>
      <w:bookmarkEnd w:id="12"/>
    </w:p>
    <w:p w14:paraId="2641E786" w14:textId="5C25C369" w:rsidR="00952571" w:rsidRPr="003A6D7B" w:rsidRDefault="003A23D6" w:rsidP="00597B9F">
      <w:pPr>
        <w:spacing w:after="240" w:line="276" w:lineRule="auto"/>
        <w:rPr>
          <w:rFonts w:ascii="Times New Roman" w:hAnsi="Times New Roman" w:cs="Times New Roman"/>
          <w:sz w:val="24"/>
          <w:szCs w:val="24"/>
        </w:rPr>
      </w:pPr>
      <w:r w:rsidRPr="003A6D7B">
        <w:rPr>
          <w:rFonts w:ascii="Times New Roman" w:hAnsi="Times New Roman" w:cs="Times New Roman"/>
          <w:sz w:val="24"/>
          <w:szCs w:val="24"/>
        </w:rPr>
        <w:t>Poslovi izrade revizije Programa razgradnje Nuklearne elektrane Krško (NEK) i Programa odlaganja radioaktivnog otpada (RAO) i istrošenoga nuklearnog goriva (ING) iz NEK-a utvrđeni su u članku 10. Međudržavn</w:t>
      </w:r>
      <w:r w:rsidR="004A7DBF" w:rsidRPr="003A6D7B">
        <w:rPr>
          <w:rFonts w:ascii="Times New Roman" w:hAnsi="Times New Roman" w:cs="Times New Roman"/>
          <w:sz w:val="24"/>
          <w:szCs w:val="24"/>
        </w:rPr>
        <w:t xml:space="preserve">og </w:t>
      </w:r>
      <w:r w:rsidRPr="003A6D7B">
        <w:rPr>
          <w:rFonts w:ascii="Times New Roman" w:hAnsi="Times New Roman" w:cs="Times New Roman"/>
          <w:sz w:val="24"/>
          <w:szCs w:val="24"/>
        </w:rPr>
        <w:t>ugovor</w:t>
      </w:r>
      <w:r w:rsidR="004A7DBF" w:rsidRPr="003A6D7B">
        <w:rPr>
          <w:rFonts w:ascii="Times New Roman" w:hAnsi="Times New Roman" w:cs="Times New Roman"/>
          <w:sz w:val="24"/>
          <w:szCs w:val="24"/>
        </w:rPr>
        <w:t>a</w:t>
      </w:r>
      <w:r w:rsidRPr="003A6D7B">
        <w:rPr>
          <w:rFonts w:ascii="Times New Roman" w:hAnsi="Times New Roman" w:cs="Times New Roman"/>
          <w:sz w:val="24"/>
          <w:szCs w:val="24"/>
        </w:rPr>
        <w:t xml:space="preserve">. </w:t>
      </w:r>
      <w:r w:rsidR="00205C1A" w:rsidRPr="003A6D7B">
        <w:rPr>
          <w:rFonts w:ascii="Times New Roman" w:hAnsi="Times New Roman" w:cs="Times New Roman"/>
          <w:sz w:val="24"/>
          <w:szCs w:val="24"/>
        </w:rPr>
        <w:t>Revizije P</w:t>
      </w:r>
      <w:r w:rsidR="004A7DBF" w:rsidRPr="003A6D7B">
        <w:rPr>
          <w:rFonts w:ascii="Times New Roman" w:hAnsi="Times New Roman" w:cs="Times New Roman"/>
          <w:sz w:val="24"/>
          <w:szCs w:val="24"/>
        </w:rPr>
        <w:t>rograma odlaganja (PO)</w:t>
      </w:r>
      <w:r w:rsidR="00205C1A" w:rsidRPr="003A6D7B">
        <w:rPr>
          <w:rFonts w:ascii="Times New Roman" w:hAnsi="Times New Roman" w:cs="Times New Roman"/>
          <w:sz w:val="24"/>
          <w:szCs w:val="24"/>
        </w:rPr>
        <w:t xml:space="preserve"> provode zajednički Fond i ARAO u suradnji s NEK-o, a revizije </w:t>
      </w:r>
      <w:r w:rsidR="004A7DBF" w:rsidRPr="003A6D7B">
        <w:rPr>
          <w:rFonts w:ascii="Times New Roman" w:hAnsi="Times New Roman" w:cs="Times New Roman"/>
          <w:sz w:val="24"/>
          <w:szCs w:val="24"/>
        </w:rPr>
        <w:t>Programa razgradnje (</w:t>
      </w:r>
      <w:r w:rsidR="00205C1A" w:rsidRPr="003A6D7B">
        <w:rPr>
          <w:rFonts w:ascii="Times New Roman" w:hAnsi="Times New Roman" w:cs="Times New Roman"/>
          <w:sz w:val="24"/>
          <w:szCs w:val="24"/>
        </w:rPr>
        <w:t>PR</w:t>
      </w:r>
      <w:r w:rsidR="004A7DBF" w:rsidRPr="003A6D7B">
        <w:rPr>
          <w:rFonts w:ascii="Times New Roman" w:hAnsi="Times New Roman" w:cs="Times New Roman"/>
          <w:sz w:val="24"/>
          <w:szCs w:val="24"/>
        </w:rPr>
        <w:t xml:space="preserve">) </w:t>
      </w:r>
      <w:r w:rsidR="00205C1A" w:rsidRPr="003A6D7B">
        <w:rPr>
          <w:rFonts w:ascii="Times New Roman" w:hAnsi="Times New Roman" w:cs="Times New Roman"/>
          <w:sz w:val="24"/>
          <w:szCs w:val="24"/>
        </w:rPr>
        <w:t xml:space="preserve"> NEK u suradnji s ARAO</w:t>
      </w:r>
      <w:r w:rsidR="004A7DBF" w:rsidRPr="003A6D7B">
        <w:rPr>
          <w:rFonts w:ascii="Times New Roman" w:hAnsi="Times New Roman" w:cs="Times New Roman"/>
          <w:sz w:val="24"/>
          <w:szCs w:val="24"/>
        </w:rPr>
        <w:t xml:space="preserve"> i F</w:t>
      </w:r>
      <w:r w:rsidR="00597B9F" w:rsidRPr="003A6D7B">
        <w:rPr>
          <w:rFonts w:ascii="Times New Roman" w:hAnsi="Times New Roman" w:cs="Times New Roman"/>
          <w:sz w:val="24"/>
          <w:szCs w:val="24"/>
        </w:rPr>
        <w:t>o</w:t>
      </w:r>
      <w:r w:rsidR="004A7DBF" w:rsidRPr="003A6D7B">
        <w:rPr>
          <w:rFonts w:ascii="Times New Roman" w:hAnsi="Times New Roman" w:cs="Times New Roman"/>
          <w:sz w:val="24"/>
          <w:szCs w:val="24"/>
        </w:rPr>
        <w:t>nd</w:t>
      </w:r>
      <w:r w:rsidR="00205C1A" w:rsidRPr="003A6D7B">
        <w:rPr>
          <w:rFonts w:ascii="Times New Roman" w:hAnsi="Times New Roman" w:cs="Times New Roman"/>
          <w:sz w:val="24"/>
          <w:szCs w:val="24"/>
        </w:rPr>
        <w:t xml:space="preserve">. </w:t>
      </w:r>
      <w:r w:rsidR="00BD5639" w:rsidRPr="003A6D7B">
        <w:rPr>
          <w:rFonts w:ascii="Times New Roman" w:hAnsi="Times New Roman" w:cs="Times New Roman"/>
          <w:sz w:val="24"/>
          <w:szCs w:val="24"/>
        </w:rPr>
        <w:t xml:space="preserve">Važeća, Treća revizija </w:t>
      </w:r>
      <w:r w:rsidR="004A7DBF" w:rsidRPr="003A6D7B">
        <w:rPr>
          <w:rFonts w:ascii="Times New Roman" w:hAnsi="Times New Roman" w:cs="Times New Roman"/>
          <w:sz w:val="24"/>
          <w:szCs w:val="24"/>
        </w:rPr>
        <w:t>PR i PO</w:t>
      </w:r>
      <w:r w:rsidR="00BD5639" w:rsidRPr="003A6D7B">
        <w:rPr>
          <w:rFonts w:ascii="Times New Roman" w:hAnsi="Times New Roman" w:cs="Times New Roman"/>
          <w:sz w:val="24"/>
          <w:szCs w:val="24"/>
        </w:rPr>
        <w:t xml:space="preserve"> NEK-a</w:t>
      </w:r>
      <w:r w:rsidR="004A7DBF" w:rsidRPr="003A6D7B">
        <w:rPr>
          <w:rFonts w:ascii="Times New Roman" w:hAnsi="Times New Roman" w:cs="Times New Roman"/>
          <w:sz w:val="24"/>
          <w:szCs w:val="24"/>
        </w:rPr>
        <w:t xml:space="preserve"> </w:t>
      </w:r>
      <w:r w:rsidR="00BD5639" w:rsidRPr="003A6D7B">
        <w:rPr>
          <w:rFonts w:ascii="Times New Roman" w:hAnsi="Times New Roman" w:cs="Times New Roman"/>
          <w:sz w:val="24"/>
          <w:szCs w:val="24"/>
        </w:rPr>
        <w:t xml:space="preserve">potvrđena </w:t>
      </w:r>
      <w:r w:rsidR="00400A3D" w:rsidRPr="003A6D7B">
        <w:rPr>
          <w:rFonts w:ascii="Times New Roman" w:hAnsi="Times New Roman" w:cs="Times New Roman"/>
          <w:sz w:val="24"/>
          <w:szCs w:val="24"/>
        </w:rPr>
        <w:t xml:space="preserve">je </w:t>
      </w:r>
      <w:r w:rsidR="00BD5639" w:rsidRPr="003A6D7B">
        <w:rPr>
          <w:rFonts w:ascii="Times New Roman" w:hAnsi="Times New Roman" w:cs="Times New Roman"/>
          <w:sz w:val="24"/>
          <w:szCs w:val="24"/>
        </w:rPr>
        <w:t xml:space="preserve">14. srpnja 2020. </w:t>
      </w:r>
      <w:r w:rsidR="00205C1A" w:rsidRPr="003A6D7B">
        <w:rPr>
          <w:rFonts w:ascii="Times New Roman" w:hAnsi="Times New Roman" w:cs="Times New Roman"/>
          <w:sz w:val="24"/>
          <w:szCs w:val="24"/>
        </w:rPr>
        <w:t xml:space="preserve">godine </w:t>
      </w:r>
      <w:r w:rsidR="00BD5639" w:rsidRPr="003A6D7B">
        <w:rPr>
          <w:rFonts w:ascii="Times New Roman" w:hAnsi="Times New Roman" w:cs="Times New Roman"/>
          <w:sz w:val="24"/>
          <w:szCs w:val="24"/>
        </w:rPr>
        <w:t xml:space="preserve">na 14. sjednici Međudržavnog povjerenstva (MDP). </w:t>
      </w:r>
    </w:p>
    <w:p w14:paraId="7C041BC2" w14:textId="77777777" w:rsidR="00952571" w:rsidRPr="003A6D7B" w:rsidRDefault="00952571" w:rsidP="00597B9F">
      <w:pPr>
        <w:pStyle w:val="Heading3"/>
        <w:spacing w:after="120" w:line="276" w:lineRule="auto"/>
        <w:rPr>
          <w:rFonts w:ascii="Times New Roman" w:hAnsi="Times New Roman" w:cs="Times New Roman"/>
          <w:sz w:val="28"/>
          <w:szCs w:val="28"/>
        </w:rPr>
      </w:pPr>
      <w:bookmarkStart w:id="13" w:name="_Toc130809346"/>
      <w:r w:rsidRPr="003A6D7B">
        <w:rPr>
          <w:rFonts w:ascii="Times New Roman" w:hAnsi="Times New Roman" w:cs="Times New Roman"/>
          <w:sz w:val="28"/>
          <w:szCs w:val="28"/>
        </w:rPr>
        <w:t>Provedba Treće revizije</w:t>
      </w:r>
      <w:bookmarkEnd w:id="13"/>
      <w:r w:rsidRPr="003A6D7B">
        <w:rPr>
          <w:rFonts w:ascii="Times New Roman" w:hAnsi="Times New Roman" w:cs="Times New Roman"/>
          <w:sz w:val="28"/>
          <w:szCs w:val="28"/>
        </w:rPr>
        <w:t xml:space="preserve">  </w:t>
      </w:r>
    </w:p>
    <w:p w14:paraId="785D04BA" w14:textId="5E09ACAC" w:rsidR="00BD5639" w:rsidRPr="003A6D7B" w:rsidRDefault="00BF7AFF" w:rsidP="0095257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Za potrebe nadzora provedbe Treće revizije PR-a i PO-a, M</w:t>
      </w:r>
      <w:r w:rsidR="00400A3D" w:rsidRPr="003A6D7B">
        <w:rPr>
          <w:rFonts w:ascii="Times New Roman" w:hAnsi="Times New Roman" w:cs="Times New Roman"/>
          <w:sz w:val="24"/>
          <w:szCs w:val="24"/>
        </w:rPr>
        <w:t>DP</w:t>
      </w:r>
      <w:r w:rsidRPr="003A6D7B">
        <w:rPr>
          <w:rFonts w:ascii="Times New Roman" w:hAnsi="Times New Roman" w:cs="Times New Roman"/>
          <w:sz w:val="24"/>
          <w:szCs w:val="24"/>
        </w:rPr>
        <w:t xml:space="preserve"> zadužilo je Koordinacijski odbor (KO) za koordiniranje dogovora u vezi sa servisiranjem preuzimanja NSRAO-a na lokaciji NEK-a u odgovarajućem obliku. KO je u Prvom izvješću predlož</w:t>
      </w:r>
      <w:r w:rsidR="002E09F3" w:rsidRPr="003A6D7B">
        <w:rPr>
          <w:rFonts w:ascii="Times New Roman" w:hAnsi="Times New Roman" w:cs="Times New Roman"/>
          <w:sz w:val="24"/>
          <w:szCs w:val="24"/>
        </w:rPr>
        <w:t>io</w:t>
      </w:r>
      <w:r w:rsidRPr="003A6D7B">
        <w:rPr>
          <w:rFonts w:ascii="Times New Roman" w:hAnsi="Times New Roman" w:cs="Times New Roman"/>
          <w:sz w:val="24"/>
          <w:szCs w:val="24"/>
        </w:rPr>
        <w:t xml:space="preserve"> praktični način i dinamik</w:t>
      </w:r>
      <w:r w:rsidR="002E09F3" w:rsidRPr="003A6D7B">
        <w:rPr>
          <w:rFonts w:ascii="Times New Roman" w:hAnsi="Times New Roman" w:cs="Times New Roman"/>
          <w:sz w:val="24"/>
          <w:szCs w:val="24"/>
        </w:rPr>
        <w:t>u</w:t>
      </w:r>
      <w:r w:rsidRPr="003A6D7B">
        <w:rPr>
          <w:rFonts w:ascii="Times New Roman" w:hAnsi="Times New Roman" w:cs="Times New Roman"/>
          <w:sz w:val="24"/>
          <w:szCs w:val="24"/>
        </w:rPr>
        <w:t xml:space="preserve"> podjele operativnog NSRAO-a nastalog do kraja 2021. godine</w:t>
      </w:r>
      <w:r w:rsidR="002E09F3" w:rsidRPr="003A6D7B">
        <w:rPr>
          <w:rFonts w:ascii="Times New Roman" w:hAnsi="Times New Roman" w:cs="Times New Roman"/>
          <w:sz w:val="24"/>
          <w:szCs w:val="24"/>
        </w:rPr>
        <w:t xml:space="preserve"> te obveze NEK-a, Fonda i ARAO u vezi s podjelom, preuzimanjem i odvozom paketa NSRAO-a s lokacije NEK-a, kao </w:t>
      </w:r>
      <w:r w:rsidR="00205C1A" w:rsidRPr="003A6D7B">
        <w:rPr>
          <w:rFonts w:ascii="Times New Roman" w:hAnsi="Times New Roman" w:cs="Times New Roman"/>
          <w:sz w:val="24"/>
          <w:szCs w:val="24"/>
        </w:rPr>
        <w:t xml:space="preserve">i </w:t>
      </w:r>
      <w:r w:rsidR="002E09F3" w:rsidRPr="003A6D7B">
        <w:rPr>
          <w:rFonts w:ascii="Times New Roman" w:hAnsi="Times New Roman" w:cs="Times New Roman"/>
          <w:sz w:val="24"/>
          <w:szCs w:val="24"/>
        </w:rPr>
        <w:t>analizom mogućnosti i uvjeta za kondicioniranje paketa NSRAO u skladišno-odlagališne spremnike na lokaciji NEK-a. S tim s ciljem</w:t>
      </w:r>
      <w:r w:rsidR="00205C1A" w:rsidRPr="003A6D7B">
        <w:rPr>
          <w:rFonts w:ascii="Times New Roman" w:hAnsi="Times New Roman" w:cs="Times New Roman"/>
          <w:sz w:val="24"/>
          <w:szCs w:val="24"/>
        </w:rPr>
        <w:t>,</w:t>
      </w:r>
      <w:r w:rsidR="002E09F3" w:rsidRPr="003A6D7B">
        <w:rPr>
          <w:rFonts w:ascii="Times New Roman" w:hAnsi="Times New Roman" w:cs="Times New Roman"/>
          <w:sz w:val="24"/>
          <w:szCs w:val="24"/>
        </w:rPr>
        <w:t xml:space="preserve"> u suradnji NEK-a, Fonda i ARAO ugovorene studije izvodljivosti te studije za definiranje preduvjeta za prvu fazu preuzimanja i dovoza NSRAO-a u D6 bačvama s lokacije NEK-a. Studije izvodljivosti završene su tijekom 2022. godine, a studija u kojoj se definiraju preduvjeti očekuje se u 2. tromjesečju 2023. godine. Nastavak planiranih aktivnosti vezano uz preuzimanje</w:t>
      </w:r>
      <w:r w:rsidR="00952571" w:rsidRPr="003A6D7B">
        <w:rPr>
          <w:rFonts w:ascii="Times New Roman" w:hAnsi="Times New Roman" w:cs="Times New Roman"/>
          <w:sz w:val="24"/>
          <w:szCs w:val="24"/>
        </w:rPr>
        <w:t>,</w:t>
      </w:r>
      <w:r w:rsidR="002E09F3" w:rsidRPr="003A6D7B">
        <w:rPr>
          <w:rFonts w:ascii="Times New Roman" w:hAnsi="Times New Roman" w:cs="Times New Roman"/>
          <w:sz w:val="24"/>
          <w:szCs w:val="24"/>
        </w:rPr>
        <w:t xml:space="preserve"> odvoz </w:t>
      </w:r>
      <w:r w:rsidR="00952571" w:rsidRPr="003A6D7B">
        <w:rPr>
          <w:rFonts w:ascii="Times New Roman" w:hAnsi="Times New Roman" w:cs="Times New Roman"/>
          <w:sz w:val="24"/>
          <w:szCs w:val="24"/>
        </w:rPr>
        <w:t xml:space="preserve">i kondicioniranje hrvatske polovice </w:t>
      </w:r>
      <w:r w:rsidR="002E09F3" w:rsidRPr="003A6D7B">
        <w:rPr>
          <w:rFonts w:ascii="Times New Roman" w:hAnsi="Times New Roman" w:cs="Times New Roman"/>
          <w:sz w:val="24"/>
          <w:szCs w:val="24"/>
        </w:rPr>
        <w:t>NSRAO</w:t>
      </w:r>
      <w:r w:rsidR="00952571" w:rsidRPr="003A6D7B">
        <w:rPr>
          <w:rFonts w:ascii="Times New Roman" w:hAnsi="Times New Roman" w:cs="Times New Roman"/>
          <w:sz w:val="24"/>
          <w:szCs w:val="24"/>
        </w:rPr>
        <w:t>-a</w:t>
      </w:r>
      <w:r w:rsidR="002E09F3" w:rsidRPr="003A6D7B">
        <w:rPr>
          <w:rFonts w:ascii="Times New Roman" w:hAnsi="Times New Roman" w:cs="Times New Roman"/>
          <w:sz w:val="24"/>
          <w:szCs w:val="24"/>
        </w:rPr>
        <w:t xml:space="preserve"> opisan je u poglavlju</w:t>
      </w:r>
      <w:r w:rsidR="00952571" w:rsidRPr="003A6D7B">
        <w:rPr>
          <w:rFonts w:ascii="Times New Roman" w:hAnsi="Times New Roman" w:cs="Times New Roman"/>
          <w:sz w:val="24"/>
          <w:szCs w:val="24"/>
        </w:rPr>
        <w:t xml:space="preserve"> </w:t>
      </w:r>
      <w:r w:rsidR="00597B9F" w:rsidRPr="003A6D7B">
        <w:rPr>
          <w:rFonts w:ascii="Times New Roman" w:hAnsi="Times New Roman" w:cs="Times New Roman"/>
          <w:sz w:val="24"/>
          <w:szCs w:val="24"/>
        </w:rPr>
        <w:t>2.6</w:t>
      </w:r>
      <w:r w:rsidR="00952571" w:rsidRPr="003A6D7B">
        <w:rPr>
          <w:rFonts w:ascii="Times New Roman" w:hAnsi="Times New Roman" w:cs="Times New Roman"/>
          <w:sz w:val="24"/>
          <w:szCs w:val="24"/>
        </w:rPr>
        <w:t xml:space="preserve">. </w:t>
      </w:r>
      <w:r w:rsidR="00952571" w:rsidRPr="003A6D7B">
        <w:rPr>
          <w:rFonts w:ascii="Times New Roman" w:hAnsi="Times New Roman" w:cs="Times New Roman"/>
          <w:color w:val="auto"/>
          <w:sz w:val="24"/>
          <w:szCs w:val="24"/>
        </w:rPr>
        <w:fldChar w:fldCharType="begin"/>
      </w:r>
      <w:r w:rsidR="00952571" w:rsidRPr="003A6D7B">
        <w:rPr>
          <w:rFonts w:ascii="Times New Roman" w:hAnsi="Times New Roman" w:cs="Times New Roman"/>
          <w:color w:val="auto"/>
          <w:sz w:val="24"/>
          <w:szCs w:val="24"/>
        </w:rPr>
        <w:instrText xml:space="preserve"> REF _Ref120308655 \h  \* MERGEFORMAT </w:instrText>
      </w:r>
      <w:r w:rsidR="00952571" w:rsidRPr="003A6D7B">
        <w:rPr>
          <w:rFonts w:ascii="Times New Roman" w:hAnsi="Times New Roman" w:cs="Times New Roman"/>
          <w:color w:val="auto"/>
          <w:sz w:val="24"/>
          <w:szCs w:val="24"/>
        </w:rPr>
      </w:r>
      <w:r w:rsidR="00952571" w:rsidRPr="003A6D7B">
        <w:rPr>
          <w:rFonts w:ascii="Times New Roman" w:hAnsi="Times New Roman" w:cs="Times New Roman"/>
          <w:color w:val="auto"/>
          <w:sz w:val="24"/>
          <w:szCs w:val="24"/>
        </w:rPr>
        <w:fldChar w:fldCharType="separate"/>
      </w:r>
      <w:r w:rsidR="002048B8" w:rsidRPr="003A6D7B">
        <w:rPr>
          <w:rFonts w:ascii="Times New Roman" w:hAnsi="Times New Roman" w:cs="Times New Roman"/>
          <w:color w:val="auto"/>
          <w:sz w:val="24"/>
          <w:szCs w:val="24"/>
        </w:rPr>
        <w:t>Preuzimanje NSRAO-a iz NE Krško</w:t>
      </w:r>
      <w:r w:rsidR="00952571" w:rsidRPr="003A6D7B">
        <w:rPr>
          <w:rFonts w:ascii="Times New Roman" w:hAnsi="Times New Roman" w:cs="Times New Roman"/>
          <w:color w:val="auto"/>
          <w:sz w:val="24"/>
          <w:szCs w:val="24"/>
        </w:rPr>
        <w:fldChar w:fldCharType="end"/>
      </w:r>
      <w:r w:rsidR="00952571" w:rsidRPr="003A6D7B">
        <w:rPr>
          <w:rFonts w:ascii="Times New Roman" w:hAnsi="Times New Roman" w:cs="Times New Roman"/>
          <w:sz w:val="24"/>
          <w:szCs w:val="24"/>
        </w:rPr>
        <w:t>.</w:t>
      </w:r>
    </w:p>
    <w:p w14:paraId="2777875D" w14:textId="6C0E1DFD" w:rsidR="003A23D6" w:rsidRPr="003A6D7B" w:rsidRDefault="003A23D6" w:rsidP="00BC46B2">
      <w:pPr>
        <w:pStyle w:val="Heading3"/>
        <w:rPr>
          <w:rFonts w:ascii="Times New Roman" w:hAnsi="Times New Roman" w:cs="Times New Roman"/>
          <w:sz w:val="28"/>
          <w:szCs w:val="28"/>
        </w:rPr>
      </w:pPr>
      <w:bookmarkStart w:id="14" w:name="_Toc58937038"/>
      <w:bookmarkStart w:id="15" w:name="_Toc59178427"/>
      <w:bookmarkStart w:id="16" w:name="_Toc62050177"/>
      <w:bookmarkStart w:id="17" w:name="_Toc130809347"/>
      <w:r w:rsidRPr="003A6D7B">
        <w:rPr>
          <w:rFonts w:ascii="Times New Roman" w:hAnsi="Times New Roman" w:cs="Times New Roman"/>
          <w:sz w:val="28"/>
          <w:szCs w:val="28"/>
        </w:rPr>
        <w:t>Priprema Četvrte revizije</w:t>
      </w:r>
      <w:bookmarkEnd w:id="14"/>
      <w:bookmarkEnd w:id="15"/>
      <w:bookmarkEnd w:id="16"/>
      <w:bookmarkEnd w:id="17"/>
      <w:r w:rsidRPr="003A6D7B">
        <w:rPr>
          <w:rFonts w:ascii="Times New Roman" w:hAnsi="Times New Roman" w:cs="Times New Roman"/>
          <w:sz w:val="28"/>
          <w:szCs w:val="28"/>
        </w:rPr>
        <w:t xml:space="preserve">  </w:t>
      </w:r>
    </w:p>
    <w:p w14:paraId="574297D0" w14:textId="7849C919" w:rsidR="00044B78" w:rsidRPr="003A6D7B" w:rsidRDefault="009D0369"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Četvrta revizija </w:t>
      </w:r>
      <w:r w:rsidR="00952571" w:rsidRPr="003A6D7B">
        <w:rPr>
          <w:rFonts w:ascii="Times New Roman" w:hAnsi="Times New Roman" w:cs="Times New Roman"/>
          <w:sz w:val="24"/>
          <w:szCs w:val="24"/>
        </w:rPr>
        <w:t xml:space="preserve">PR-a i PO-a </w:t>
      </w:r>
      <w:r w:rsidRPr="003A6D7B">
        <w:rPr>
          <w:rFonts w:ascii="Times New Roman" w:hAnsi="Times New Roman" w:cs="Times New Roman"/>
          <w:sz w:val="24"/>
          <w:szCs w:val="24"/>
        </w:rPr>
        <w:t xml:space="preserve">započela je nakon prihvaćanja Projektnih zadataka za izradu Četvrte revizije PR-a i PO-a, 4. travnja 2022. godine na 16. sjednici MDP-a. </w:t>
      </w:r>
      <w:r w:rsidR="00AE5DD1" w:rsidRPr="003A6D7B">
        <w:rPr>
          <w:rFonts w:ascii="Times New Roman" w:hAnsi="Times New Roman" w:cs="Times New Roman"/>
          <w:sz w:val="24"/>
          <w:szCs w:val="24"/>
        </w:rPr>
        <w:t>U okviru Četvrte revizije PO</w:t>
      </w:r>
      <w:r w:rsidR="009C0556" w:rsidRPr="003A6D7B">
        <w:rPr>
          <w:rFonts w:ascii="Times New Roman" w:hAnsi="Times New Roman" w:cs="Times New Roman"/>
          <w:sz w:val="24"/>
          <w:szCs w:val="24"/>
        </w:rPr>
        <w:t>-a</w:t>
      </w:r>
      <w:r w:rsidR="00AE5DD1" w:rsidRPr="003A6D7B">
        <w:rPr>
          <w:rFonts w:ascii="Times New Roman" w:hAnsi="Times New Roman" w:cs="Times New Roman"/>
          <w:sz w:val="24"/>
          <w:szCs w:val="24"/>
        </w:rPr>
        <w:t xml:space="preserve"> </w:t>
      </w:r>
      <w:r w:rsidR="00C75CBE" w:rsidRPr="003A6D7B">
        <w:rPr>
          <w:rFonts w:ascii="Times New Roman" w:hAnsi="Times New Roman" w:cs="Times New Roman"/>
          <w:sz w:val="24"/>
          <w:szCs w:val="24"/>
        </w:rPr>
        <w:t xml:space="preserve">planirane su potporne studije, od kojih je prva </w:t>
      </w:r>
      <w:r w:rsidRPr="003A6D7B">
        <w:rPr>
          <w:rFonts w:ascii="Times New Roman" w:hAnsi="Times New Roman" w:cs="Times New Roman"/>
          <w:sz w:val="24"/>
          <w:szCs w:val="24"/>
        </w:rPr>
        <w:t xml:space="preserve">ugovorena </w:t>
      </w:r>
      <w:r w:rsidR="00C75CBE" w:rsidRPr="003A6D7B">
        <w:rPr>
          <w:rFonts w:ascii="Times New Roman" w:hAnsi="Times New Roman" w:cs="Times New Roman"/>
          <w:sz w:val="24"/>
          <w:szCs w:val="24"/>
        </w:rPr>
        <w:t xml:space="preserve">u suradnji s NEK-om </w:t>
      </w:r>
      <w:r w:rsidR="00044B78" w:rsidRPr="003A6D7B">
        <w:rPr>
          <w:rFonts w:ascii="Times New Roman" w:hAnsi="Times New Roman" w:cs="Times New Roman"/>
          <w:sz w:val="24"/>
          <w:szCs w:val="24"/>
        </w:rPr>
        <w:t xml:space="preserve">i ARAO </w:t>
      </w:r>
      <w:r w:rsidR="00C75CBE" w:rsidRPr="003A6D7B">
        <w:rPr>
          <w:rFonts w:ascii="Times New Roman" w:hAnsi="Times New Roman" w:cs="Times New Roman"/>
          <w:sz w:val="24"/>
          <w:szCs w:val="24"/>
        </w:rPr>
        <w:t>u kolovozu 2022. godine. R</w:t>
      </w:r>
      <w:r w:rsidRPr="003A6D7B">
        <w:rPr>
          <w:rFonts w:ascii="Times New Roman" w:hAnsi="Times New Roman" w:cs="Times New Roman"/>
          <w:sz w:val="24"/>
          <w:szCs w:val="24"/>
        </w:rPr>
        <w:t>evizija studije o podjeli i preuzimanju operativnog i dekomisijskog RAO</w:t>
      </w:r>
      <w:r w:rsidR="00BF7AFF" w:rsidRPr="003A6D7B">
        <w:rPr>
          <w:rFonts w:ascii="Times New Roman" w:hAnsi="Times New Roman" w:cs="Times New Roman"/>
          <w:sz w:val="24"/>
          <w:szCs w:val="24"/>
        </w:rPr>
        <w:t>-a</w:t>
      </w:r>
      <w:r w:rsidRPr="003A6D7B">
        <w:rPr>
          <w:rFonts w:ascii="Times New Roman" w:hAnsi="Times New Roman" w:cs="Times New Roman"/>
          <w:sz w:val="24"/>
          <w:szCs w:val="24"/>
        </w:rPr>
        <w:t xml:space="preserve"> iz NE Krško </w:t>
      </w:r>
      <w:r w:rsidR="00044B78" w:rsidRPr="003A6D7B">
        <w:rPr>
          <w:rFonts w:ascii="Times New Roman" w:hAnsi="Times New Roman" w:cs="Times New Roman"/>
          <w:sz w:val="24"/>
          <w:szCs w:val="24"/>
        </w:rPr>
        <w:t>p</w:t>
      </w:r>
      <w:r w:rsidR="00C75CBE" w:rsidRPr="003A6D7B">
        <w:rPr>
          <w:rFonts w:ascii="Times New Roman" w:hAnsi="Times New Roman" w:cs="Times New Roman"/>
          <w:sz w:val="24"/>
          <w:szCs w:val="24"/>
        </w:rPr>
        <w:t xml:space="preserve">rovodi se </w:t>
      </w:r>
      <w:r w:rsidRPr="003A6D7B">
        <w:rPr>
          <w:rFonts w:ascii="Times New Roman" w:hAnsi="Times New Roman" w:cs="Times New Roman"/>
          <w:sz w:val="24"/>
          <w:szCs w:val="24"/>
        </w:rPr>
        <w:t>sukladno odlu</w:t>
      </w:r>
      <w:r w:rsidR="00C75CBE" w:rsidRPr="003A6D7B">
        <w:rPr>
          <w:rFonts w:ascii="Times New Roman" w:hAnsi="Times New Roman" w:cs="Times New Roman"/>
          <w:sz w:val="24"/>
          <w:szCs w:val="24"/>
        </w:rPr>
        <w:t xml:space="preserve">kama </w:t>
      </w:r>
      <w:r w:rsidRPr="003A6D7B">
        <w:rPr>
          <w:rFonts w:ascii="Times New Roman" w:hAnsi="Times New Roman" w:cs="Times New Roman"/>
          <w:sz w:val="24"/>
          <w:szCs w:val="24"/>
        </w:rPr>
        <w:t xml:space="preserve">MDP-a </w:t>
      </w:r>
      <w:r w:rsidR="00C75CBE" w:rsidRPr="003A6D7B">
        <w:rPr>
          <w:rFonts w:ascii="Times New Roman" w:hAnsi="Times New Roman" w:cs="Times New Roman"/>
          <w:sz w:val="24"/>
          <w:szCs w:val="24"/>
        </w:rPr>
        <w:t>s 15. i 16. sjednice te Prvom izvješću K</w:t>
      </w:r>
      <w:r w:rsidR="00952571" w:rsidRPr="003A6D7B">
        <w:rPr>
          <w:rFonts w:ascii="Times New Roman" w:hAnsi="Times New Roman" w:cs="Times New Roman"/>
          <w:sz w:val="24"/>
          <w:szCs w:val="24"/>
        </w:rPr>
        <w:t>O-</w:t>
      </w:r>
      <w:r w:rsidR="00C75CBE" w:rsidRPr="003A6D7B">
        <w:rPr>
          <w:rFonts w:ascii="Times New Roman" w:hAnsi="Times New Roman" w:cs="Times New Roman"/>
          <w:sz w:val="24"/>
          <w:szCs w:val="24"/>
        </w:rPr>
        <w:t>a. Prvi dio studije završen je u 2022. godini, a drugi se dio koji se odnosi na podjelu i preuzimanje dekomisijskog otpada će biti završen u 3. tromjesečju 2023. godine</w:t>
      </w:r>
      <w:r w:rsidR="00952571" w:rsidRPr="003A6D7B">
        <w:rPr>
          <w:rFonts w:ascii="Times New Roman" w:hAnsi="Times New Roman" w:cs="Times New Roman"/>
          <w:sz w:val="24"/>
          <w:szCs w:val="24"/>
        </w:rPr>
        <w:t xml:space="preserve">, odnosno nakon nove procjene vrsta i količina otpada </w:t>
      </w:r>
      <w:r w:rsidR="00C234D9" w:rsidRPr="003A6D7B">
        <w:rPr>
          <w:rFonts w:ascii="Times New Roman" w:hAnsi="Times New Roman" w:cs="Times New Roman"/>
          <w:sz w:val="24"/>
          <w:szCs w:val="24"/>
        </w:rPr>
        <w:t>koji će nastati razgradnjom NE Krško u sklopu Četvrte revizije PR-a</w:t>
      </w:r>
      <w:r w:rsidR="00C75CBE" w:rsidRPr="003A6D7B">
        <w:rPr>
          <w:rFonts w:ascii="Times New Roman" w:hAnsi="Times New Roman" w:cs="Times New Roman"/>
          <w:sz w:val="24"/>
          <w:szCs w:val="24"/>
        </w:rPr>
        <w:t xml:space="preserve">. </w:t>
      </w:r>
    </w:p>
    <w:p w14:paraId="2A47CF73" w14:textId="6840EB7C" w:rsidR="00044B78" w:rsidRPr="003A6D7B" w:rsidRDefault="00044B78"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lastRenderedPageBreak/>
        <w:t xml:space="preserve">U suradnji s ARAO </w:t>
      </w:r>
      <w:r w:rsidR="00C234D9" w:rsidRPr="003A6D7B">
        <w:rPr>
          <w:rFonts w:ascii="Times New Roman" w:hAnsi="Times New Roman" w:cs="Times New Roman"/>
          <w:sz w:val="24"/>
          <w:szCs w:val="24"/>
        </w:rPr>
        <w:t>za početak</w:t>
      </w:r>
      <w:r w:rsidRPr="003A6D7B">
        <w:rPr>
          <w:rFonts w:ascii="Times New Roman" w:hAnsi="Times New Roman" w:cs="Times New Roman"/>
          <w:sz w:val="24"/>
          <w:szCs w:val="24"/>
        </w:rPr>
        <w:t xml:space="preserve"> 2023. godine planira</w:t>
      </w:r>
      <w:r w:rsidR="00C234D9" w:rsidRPr="003A6D7B">
        <w:rPr>
          <w:rFonts w:ascii="Times New Roman" w:hAnsi="Times New Roman" w:cs="Times New Roman"/>
          <w:sz w:val="24"/>
          <w:szCs w:val="24"/>
        </w:rPr>
        <w:t>no je</w:t>
      </w:r>
      <w:r w:rsidRPr="003A6D7B">
        <w:rPr>
          <w:rFonts w:ascii="Times New Roman" w:hAnsi="Times New Roman" w:cs="Times New Roman"/>
          <w:sz w:val="24"/>
          <w:szCs w:val="24"/>
        </w:rPr>
        <w:t xml:space="preserve"> ugovaranje studija: </w:t>
      </w:r>
    </w:p>
    <w:p w14:paraId="5A958A54" w14:textId="368740CA" w:rsidR="00044B78" w:rsidRPr="003A6D7B" w:rsidRDefault="00044B78" w:rsidP="00044B78">
      <w:pPr>
        <w:pStyle w:val="ListParagraph"/>
        <w:numPr>
          <w:ilvl w:val="0"/>
          <w:numId w:val="7"/>
        </w:num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Studija odlaganja istrošenoga nuklearnog goriva (ING) i visokoradioaktivnog otpada (VRAO) u duboko geološko odlagalište </w:t>
      </w:r>
      <w:r w:rsidR="00205C1A" w:rsidRPr="003A6D7B">
        <w:rPr>
          <w:rFonts w:ascii="Times New Roman" w:hAnsi="Times New Roman" w:cs="Times New Roman"/>
          <w:sz w:val="24"/>
          <w:szCs w:val="24"/>
        </w:rPr>
        <w:t xml:space="preserve">(DGR) </w:t>
      </w:r>
      <w:r w:rsidRPr="003A6D7B">
        <w:rPr>
          <w:rFonts w:ascii="Times New Roman" w:hAnsi="Times New Roman" w:cs="Times New Roman"/>
          <w:sz w:val="24"/>
          <w:szCs w:val="24"/>
        </w:rPr>
        <w:t>i usporedba s multi</w:t>
      </w:r>
      <w:r w:rsidR="00205C1A" w:rsidRPr="003A6D7B">
        <w:rPr>
          <w:rFonts w:ascii="Times New Roman" w:hAnsi="Times New Roman" w:cs="Times New Roman"/>
          <w:sz w:val="24"/>
          <w:szCs w:val="24"/>
        </w:rPr>
        <w:t>-</w:t>
      </w:r>
      <w:r w:rsidRPr="003A6D7B">
        <w:rPr>
          <w:rFonts w:ascii="Times New Roman" w:hAnsi="Times New Roman" w:cs="Times New Roman"/>
          <w:sz w:val="24"/>
          <w:szCs w:val="24"/>
        </w:rPr>
        <w:t>nacionalnim odlagalištem (Treća revizija procjene troškova)</w:t>
      </w:r>
    </w:p>
    <w:p w14:paraId="1011CD5B" w14:textId="18A827B4" w:rsidR="00044B78" w:rsidRPr="003A6D7B" w:rsidRDefault="00044B78" w:rsidP="00044B78">
      <w:pPr>
        <w:pStyle w:val="ListParagraph"/>
        <w:numPr>
          <w:ilvl w:val="0"/>
          <w:numId w:val="7"/>
        </w:numPr>
        <w:spacing w:line="276" w:lineRule="auto"/>
        <w:rPr>
          <w:rFonts w:ascii="Times New Roman" w:hAnsi="Times New Roman" w:cs="Times New Roman"/>
          <w:sz w:val="24"/>
          <w:szCs w:val="24"/>
        </w:rPr>
      </w:pPr>
      <w:r w:rsidRPr="003A6D7B">
        <w:rPr>
          <w:rFonts w:ascii="Times New Roman" w:hAnsi="Times New Roman" w:cs="Times New Roman"/>
          <w:sz w:val="24"/>
          <w:szCs w:val="24"/>
        </w:rPr>
        <w:t>Studija odlaganja ING</w:t>
      </w:r>
      <w:r w:rsidR="00C234D9" w:rsidRPr="003A6D7B">
        <w:rPr>
          <w:rFonts w:ascii="Times New Roman" w:hAnsi="Times New Roman" w:cs="Times New Roman"/>
          <w:sz w:val="24"/>
          <w:szCs w:val="24"/>
        </w:rPr>
        <w:t>-a</w:t>
      </w:r>
      <w:r w:rsidRPr="003A6D7B">
        <w:rPr>
          <w:rFonts w:ascii="Times New Roman" w:hAnsi="Times New Roman" w:cs="Times New Roman"/>
          <w:sz w:val="24"/>
          <w:szCs w:val="24"/>
        </w:rPr>
        <w:t xml:space="preserve"> i VRAO</w:t>
      </w:r>
      <w:r w:rsidR="00C234D9" w:rsidRPr="003A6D7B">
        <w:rPr>
          <w:rFonts w:ascii="Times New Roman" w:hAnsi="Times New Roman" w:cs="Times New Roman"/>
          <w:sz w:val="24"/>
          <w:szCs w:val="24"/>
        </w:rPr>
        <w:t>-a</w:t>
      </w:r>
      <w:r w:rsidRPr="003A6D7B">
        <w:rPr>
          <w:rFonts w:ascii="Times New Roman" w:hAnsi="Times New Roman" w:cs="Times New Roman"/>
          <w:sz w:val="24"/>
          <w:szCs w:val="24"/>
        </w:rPr>
        <w:t xml:space="preserve"> u duboko bušotinsko odlagalište </w:t>
      </w:r>
      <w:r w:rsidR="00205C1A" w:rsidRPr="003A6D7B">
        <w:rPr>
          <w:rFonts w:ascii="Times New Roman" w:hAnsi="Times New Roman" w:cs="Times New Roman"/>
          <w:sz w:val="24"/>
          <w:szCs w:val="24"/>
        </w:rPr>
        <w:t xml:space="preserve">(DBD) </w:t>
      </w:r>
      <w:r w:rsidRPr="003A6D7B">
        <w:rPr>
          <w:rFonts w:ascii="Times New Roman" w:hAnsi="Times New Roman" w:cs="Times New Roman"/>
          <w:sz w:val="24"/>
          <w:szCs w:val="24"/>
        </w:rPr>
        <w:t>s procjenom troškova</w:t>
      </w:r>
    </w:p>
    <w:p w14:paraId="7FE3C84A" w14:textId="0B19DD71" w:rsidR="00044B78" w:rsidRPr="003A6D7B" w:rsidRDefault="001C62E3" w:rsidP="00044B78">
      <w:pPr>
        <w:pStyle w:val="ListParagraph"/>
        <w:numPr>
          <w:ilvl w:val="0"/>
          <w:numId w:val="7"/>
        </w:numPr>
        <w:spacing w:line="276" w:lineRule="auto"/>
        <w:rPr>
          <w:rFonts w:ascii="Times New Roman" w:hAnsi="Times New Roman" w:cs="Times New Roman"/>
          <w:sz w:val="24"/>
          <w:szCs w:val="24"/>
        </w:rPr>
      </w:pPr>
      <w:r w:rsidRPr="003A6D7B">
        <w:rPr>
          <w:rFonts w:ascii="Times New Roman" w:hAnsi="Times New Roman" w:cs="Times New Roman"/>
          <w:sz w:val="24"/>
          <w:szCs w:val="24"/>
        </w:rPr>
        <w:t>R</w:t>
      </w:r>
      <w:r w:rsidR="00044B78" w:rsidRPr="003A6D7B">
        <w:rPr>
          <w:rFonts w:ascii="Times New Roman" w:hAnsi="Times New Roman" w:cs="Times New Roman"/>
          <w:sz w:val="24"/>
          <w:szCs w:val="24"/>
        </w:rPr>
        <w:t xml:space="preserve">azvojno-istraživački Program za </w:t>
      </w:r>
      <w:r w:rsidRPr="003A6D7B">
        <w:rPr>
          <w:rFonts w:ascii="Times New Roman" w:hAnsi="Times New Roman" w:cs="Times New Roman"/>
          <w:sz w:val="24"/>
          <w:szCs w:val="24"/>
        </w:rPr>
        <w:t xml:space="preserve">zajedničko odlaganje ING-a i VRAO-a u </w:t>
      </w:r>
      <w:r w:rsidR="00044B78" w:rsidRPr="003A6D7B">
        <w:rPr>
          <w:rFonts w:ascii="Times New Roman" w:hAnsi="Times New Roman" w:cs="Times New Roman"/>
          <w:sz w:val="24"/>
          <w:szCs w:val="24"/>
        </w:rPr>
        <w:t xml:space="preserve">duboko geološko o odlagalište </w:t>
      </w:r>
      <w:r w:rsidRPr="003A6D7B">
        <w:rPr>
          <w:rFonts w:ascii="Times New Roman" w:hAnsi="Times New Roman" w:cs="Times New Roman"/>
          <w:sz w:val="24"/>
          <w:szCs w:val="24"/>
        </w:rPr>
        <w:t>u Hrvatskoj ili Sloveniji</w:t>
      </w:r>
    </w:p>
    <w:p w14:paraId="28D5BC90" w14:textId="551C0CBA" w:rsidR="001C62E3" w:rsidRPr="003A6D7B" w:rsidRDefault="001C62E3"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Obzirom da Hrvatska nema </w:t>
      </w:r>
      <w:r w:rsidR="00C234D9" w:rsidRPr="003A6D7B">
        <w:rPr>
          <w:rFonts w:ascii="Times New Roman" w:hAnsi="Times New Roman" w:cs="Times New Roman"/>
          <w:sz w:val="24"/>
          <w:szCs w:val="24"/>
        </w:rPr>
        <w:t>razvijenu regulativu</w:t>
      </w:r>
      <w:r w:rsidRPr="003A6D7B">
        <w:rPr>
          <w:rFonts w:ascii="Times New Roman" w:hAnsi="Times New Roman" w:cs="Times New Roman"/>
          <w:sz w:val="24"/>
          <w:szCs w:val="24"/>
        </w:rPr>
        <w:t xml:space="preserve"> za odlaganje ING-a i VRAO-a, za potrebe razvojno-istraživačkog programa koristit će se slovenska regulativa, te primjenjivi hrvatski propisi. Paralelno</w:t>
      </w:r>
      <w:r w:rsidR="00C234D9" w:rsidRPr="003A6D7B">
        <w:rPr>
          <w:rFonts w:ascii="Times New Roman" w:hAnsi="Times New Roman" w:cs="Times New Roman"/>
          <w:sz w:val="24"/>
          <w:szCs w:val="24"/>
        </w:rPr>
        <w:t>,</w:t>
      </w:r>
      <w:r w:rsidRPr="003A6D7B">
        <w:rPr>
          <w:rFonts w:ascii="Times New Roman" w:hAnsi="Times New Roman" w:cs="Times New Roman"/>
          <w:sz w:val="24"/>
          <w:szCs w:val="24"/>
        </w:rPr>
        <w:t xml:space="preserve"> Fond planira izradu podloga buduće regulative s uvjetima i kriterijima za odlaganje ING-a</w:t>
      </w:r>
      <w:r w:rsidR="00BF7AFF" w:rsidRPr="003A6D7B">
        <w:rPr>
          <w:rFonts w:ascii="Times New Roman" w:hAnsi="Times New Roman" w:cs="Times New Roman"/>
          <w:sz w:val="24"/>
          <w:szCs w:val="24"/>
        </w:rPr>
        <w:t>,</w:t>
      </w:r>
      <w:r w:rsidRPr="003A6D7B">
        <w:rPr>
          <w:rFonts w:ascii="Times New Roman" w:hAnsi="Times New Roman" w:cs="Times New Roman"/>
          <w:sz w:val="24"/>
          <w:szCs w:val="24"/>
        </w:rPr>
        <w:t xml:space="preserve"> VRAO-a</w:t>
      </w:r>
      <w:r w:rsidR="00BF7AFF" w:rsidRPr="003A6D7B">
        <w:rPr>
          <w:rFonts w:ascii="Times New Roman" w:hAnsi="Times New Roman" w:cs="Times New Roman"/>
          <w:sz w:val="24"/>
          <w:szCs w:val="24"/>
        </w:rPr>
        <w:t xml:space="preserve"> te iskorištenih izvora. Izrada razvojno istraživačkog programa i regulatornog okvira za odlaganja ING-a i VRAO-a </w:t>
      </w:r>
      <w:r w:rsidRPr="003A6D7B">
        <w:rPr>
          <w:rFonts w:ascii="Times New Roman" w:hAnsi="Times New Roman" w:cs="Times New Roman"/>
          <w:sz w:val="24"/>
          <w:szCs w:val="24"/>
        </w:rPr>
        <w:t xml:space="preserve">je </w:t>
      </w:r>
      <w:r w:rsidR="00BF7AFF" w:rsidRPr="003A6D7B">
        <w:rPr>
          <w:rFonts w:ascii="Times New Roman" w:hAnsi="Times New Roman" w:cs="Times New Roman"/>
          <w:sz w:val="24"/>
          <w:szCs w:val="24"/>
        </w:rPr>
        <w:t>obveza</w:t>
      </w:r>
      <w:r w:rsidRPr="003A6D7B">
        <w:rPr>
          <w:rFonts w:ascii="Times New Roman" w:hAnsi="Times New Roman" w:cs="Times New Roman"/>
          <w:sz w:val="24"/>
          <w:szCs w:val="24"/>
        </w:rPr>
        <w:t xml:space="preserve"> iz </w:t>
      </w:r>
      <w:r w:rsidR="001D3193" w:rsidRPr="003A6D7B">
        <w:rPr>
          <w:rFonts w:ascii="Times New Roman" w:hAnsi="Times New Roman" w:cs="Times New Roman"/>
          <w:sz w:val="24"/>
          <w:szCs w:val="24"/>
        </w:rPr>
        <w:t>D</w:t>
      </w:r>
      <w:r w:rsidRPr="003A6D7B">
        <w:rPr>
          <w:rFonts w:ascii="Times New Roman" w:hAnsi="Times New Roman" w:cs="Times New Roman"/>
          <w:sz w:val="24"/>
          <w:szCs w:val="24"/>
        </w:rPr>
        <w:t xml:space="preserve">irektive </w:t>
      </w:r>
      <w:r w:rsidR="001D3193" w:rsidRPr="003A6D7B">
        <w:rPr>
          <w:rFonts w:ascii="Times New Roman" w:hAnsi="Times New Roman" w:cs="Times New Roman"/>
          <w:sz w:val="24"/>
          <w:szCs w:val="24"/>
        </w:rPr>
        <w:t>vijeća 2011/70/EURATOM o uspostavi okvira Zajednice za odgovorno i sigurno gospodarenje istrošenim gorivom i radioaktivnim otpadom</w:t>
      </w:r>
      <w:r w:rsidR="00BF7AFF" w:rsidRPr="003A6D7B">
        <w:rPr>
          <w:rFonts w:ascii="Times New Roman" w:hAnsi="Times New Roman" w:cs="Times New Roman"/>
          <w:sz w:val="24"/>
          <w:szCs w:val="24"/>
        </w:rPr>
        <w:t xml:space="preserve"> (Direktiva</w:t>
      </w:r>
      <w:r w:rsidR="001D3193" w:rsidRPr="003A6D7B">
        <w:rPr>
          <w:rFonts w:ascii="Times New Roman" w:hAnsi="Times New Roman" w:cs="Times New Roman"/>
          <w:sz w:val="24"/>
          <w:szCs w:val="24"/>
        </w:rPr>
        <w:t xml:space="preserve"> 2011/70/EURATOM</w:t>
      </w:r>
      <w:r w:rsidR="00BF7AFF" w:rsidRPr="003A6D7B">
        <w:rPr>
          <w:rFonts w:ascii="Times New Roman" w:hAnsi="Times New Roman" w:cs="Times New Roman"/>
          <w:sz w:val="24"/>
          <w:szCs w:val="24"/>
        </w:rPr>
        <w:t>)</w:t>
      </w:r>
      <w:r w:rsidR="00D268EC" w:rsidRPr="003A6D7B">
        <w:rPr>
          <w:rFonts w:ascii="Times New Roman" w:hAnsi="Times New Roman" w:cs="Times New Roman"/>
          <w:sz w:val="24"/>
          <w:szCs w:val="24"/>
        </w:rPr>
        <w:t>, kako su preuzete odredbama Zakona o radiološkoj i nuklearnoj sigurnosti (NN 141/13, 39/15, 130/17, 118/18, 21/22 i 114/22)</w:t>
      </w:r>
      <w:r w:rsidR="00BF7AFF" w:rsidRPr="003A6D7B">
        <w:rPr>
          <w:rFonts w:ascii="Times New Roman" w:hAnsi="Times New Roman" w:cs="Times New Roman"/>
          <w:sz w:val="24"/>
          <w:szCs w:val="24"/>
        </w:rPr>
        <w:t>.</w:t>
      </w:r>
    </w:p>
    <w:p w14:paraId="2F90B947" w14:textId="15ECFF10" w:rsidR="003A23D6" w:rsidRPr="003A6D7B" w:rsidRDefault="003A23D6"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Planirane istraživačke i razvojne aktivnosti razradit će se i provesti u suradnji sa stručnjacima znanstvenih instituta, </w:t>
      </w:r>
      <w:r w:rsidR="000D0E8D" w:rsidRPr="003A6D7B">
        <w:rPr>
          <w:rFonts w:ascii="Times New Roman" w:hAnsi="Times New Roman" w:cs="Times New Roman"/>
          <w:sz w:val="24"/>
          <w:szCs w:val="24"/>
        </w:rPr>
        <w:t xml:space="preserve">fakulteta, </w:t>
      </w:r>
      <w:r w:rsidRPr="003A6D7B">
        <w:rPr>
          <w:rFonts w:ascii="Times New Roman" w:hAnsi="Times New Roman" w:cs="Times New Roman"/>
          <w:sz w:val="24"/>
          <w:szCs w:val="24"/>
        </w:rPr>
        <w:t xml:space="preserve">kao i kroz rad ERDO-a, IGD-TP-a, DISPONET-a i drugih stručnih grupa, organizacija i projekata. </w:t>
      </w:r>
    </w:p>
    <w:p w14:paraId="5E209F00" w14:textId="789741E0" w:rsidR="003A23D6" w:rsidRPr="003A6D7B" w:rsidRDefault="003A23D6" w:rsidP="00902811">
      <w:pPr>
        <w:spacing w:line="276" w:lineRule="auto"/>
        <w:ind w:left="851"/>
        <w:rPr>
          <w:rFonts w:ascii="Times New Roman" w:hAnsi="Times New Roman" w:cs="Times New Roman"/>
        </w:rPr>
      </w:pPr>
    </w:p>
    <w:p w14:paraId="36B68AC6" w14:textId="0CDF18B1" w:rsidR="00952571" w:rsidRPr="003A6D7B" w:rsidRDefault="00952571" w:rsidP="00952571">
      <w:pPr>
        <w:pStyle w:val="Heading2"/>
        <w:jc w:val="left"/>
        <w:rPr>
          <w:rFonts w:ascii="Times New Roman" w:hAnsi="Times New Roman" w:cs="Times New Roman"/>
        </w:rPr>
      </w:pPr>
      <w:bookmarkStart w:id="18" w:name="_Toc130809348"/>
      <w:r w:rsidRPr="003A6D7B">
        <w:rPr>
          <w:rFonts w:ascii="Times New Roman" w:hAnsi="Times New Roman" w:cs="Times New Roman"/>
        </w:rPr>
        <w:t>Provedba Nacionalnog programa i Strategije</w:t>
      </w:r>
      <w:bookmarkEnd w:id="18"/>
    </w:p>
    <w:p w14:paraId="5DC715B3" w14:textId="2F7069E5" w:rsidR="00952571" w:rsidRPr="003A6D7B" w:rsidRDefault="00C234D9" w:rsidP="001D3193">
      <w:pPr>
        <w:spacing w:line="276" w:lineRule="auto"/>
        <w:rPr>
          <w:rFonts w:ascii="Times New Roman" w:hAnsi="Times New Roman" w:cs="Times New Roman"/>
          <w:sz w:val="24"/>
          <w:szCs w:val="24"/>
        </w:rPr>
      </w:pPr>
      <w:r w:rsidRPr="003A6D7B">
        <w:rPr>
          <w:rFonts w:ascii="Times New Roman" w:hAnsi="Times New Roman" w:cs="Times New Roman"/>
          <w:sz w:val="24"/>
          <w:szCs w:val="24"/>
        </w:rPr>
        <w:t>Sukladno obvezama iz</w:t>
      </w:r>
      <w:r w:rsidR="00925CC0" w:rsidRPr="003A6D7B">
        <w:rPr>
          <w:rFonts w:ascii="Times New Roman" w:hAnsi="Times New Roman" w:cs="Times New Roman"/>
          <w:sz w:val="24"/>
          <w:szCs w:val="24"/>
        </w:rPr>
        <w:t xml:space="preserve"> člancima 54. do 59. </w:t>
      </w:r>
      <w:r w:rsidRPr="003A6D7B">
        <w:rPr>
          <w:rFonts w:ascii="Times New Roman" w:hAnsi="Times New Roman" w:cs="Times New Roman"/>
          <w:sz w:val="24"/>
          <w:szCs w:val="24"/>
        </w:rPr>
        <w:t xml:space="preserve"> </w:t>
      </w:r>
      <w:r w:rsidR="00925CC0" w:rsidRPr="003A6D7B">
        <w:rPr>
          <w:rFonts w:ascii="Times New Roman" w:hAnsi="Times New Roman" w:cs="Times New Roman"/>
          <w:sz w:val="24"/>
          <w:szCs w:val="24"/>
        </w:rPr>
        <w:t xml:space="preserve">Zakona o radiološkoj i nuklearnoj sigurnosti (NN 141/13, 39/15, 130/17, 118/18, 21/22 i 114/22) i </w:t>
      </w:r>
      <w:r w:rsidRPr="003A6D7B">
        <w:rPr>
          <w:rFonts w:ascii="Times New Roman" w:hAnsi="Times New Roman" w:cs="Times New Roman"/>
          <w:sz w:val="24"/>
          <w:szCs w:val="24"/>
        </w:rPr>
        <w:t xml:space="preserve">Direktive </w:t>
      </w:r>
      <w:r w:rsidR="001D3193" w:rsidRPr="003A6D7B">
        <w:rPr>
          <w:rFonts w:ascii="Times New Roman" w:hAnsi="Times New Roman" w:cs="Times New Roman"/>
          <w:sz w:val="24"/>
          <w:szCs w:val="24"/>
        </w:rPr>
        <w:t xml:space="preserve">Vijeća </w:t>
      </w:r>
      <w:r w:rsidRPr="003A6D7B">
        <w:rPr>
          <w:rFonts w:ascii="Times New Roman" w:hAnsi="Times New Roman" w:cs="Times New Roman"/>
          <w:sz w:val="24"/>
          <w:szCs w:val="24"/>
        </w:rPr>
        <w:t xml:space="preserve">2011/70/EURATOM, Hrvatska je izradila Strategiju zbrinjavanja radioaktivnog otpada, iskorištenih izvora i istrošenoga nuklearnog goriva (NN, br. 125/14) i Nacionalni program provedbe Strategije zbrinjavanja radioaktivnog otpada, iskorištenih izvora i istrošenog nuklearnog goriva (Program za razdoblje do 2025. godine s pogledom do 2060.) (Odluka o donošenju, NN 100/18). Sukladno zahtjevima Europske komisije, pripremljene su izmjene i dopune Nacionalnog programa, koje su u postupku donošenja. </w:t>
      </w:r>
      <w:r w:rsidR="001D3193" w:rsidRPr="003A6D7B">
        <w:rPr>
          <w:rFonts w:ascii="Times New Roman" w:hAnsi="Times New Roman" w:cs="Times New Roman"/>
          <w:sz w:val="24"/>
          <w:szCs w:val="24"/>
        </w:rPr>
        <w:t>Kako bi se na vrijem</w:t>
      </w:r>
      <w:r w:rsidR="0074392A" w:rsidRPr="003A6D7B">
        <w:rPr>
          <w:rFonts w:ascii="Times New Roman" w:hAnsi="Times New Roman" w:cs="Times New Roman"/>
          <w:sz w:val="24"/>
          <w:szCs w:val="24"/>
        </w:rPr>
        <w:t>e</w:t>
      </w:r>
      <w:r w:rsidR="001D3193" w:rsidRPr="003A6D7B">
        <w:rPr>
          <w:rFonts w:ascii="Times New Roman" w:hAnsi="Times New Roman" w:cs="Times New Roman"/>
          <w:sz w:val="24"/>
          <w:szCs w:val="24"/>
        </w:rPr>
        <w:t xml:space="preserve"> pripremio i usvojio novi Nacionalni </w:t>
      </w:r>
      <w:r w:rsidR="00AA454F" w:rsidRPr="003A6D7B">
        <w:rPr>
          <w:rFonts w:ascii="Times New Roman" w:hAnsi="Times New Roman" w:cs="Times New Roman"/>
          <w:sz w:val="24"/>
          <w:szCs w:val="24"/>
        </w:rPr>
        <w:t>program</w:t>
      </w:r>
      <w:r w:rsidR="001D3193" w:rsidRPr="003A6D7B">
        <w:rPr>
          <w:rFonts w:ascii="Times New Roman" w:hAnsi="Times New Roman" w:cs="Times New Roman"/>
          <w:sz w:val="24"/>
          <w:szCs w:val="24"/>
        </w:rPr>
        <w:t xml:space="preserve"> za razdoblje </w:t>
      </w:r>
      <w:r w:rsidR="00AA454F" w:rsidRPr="003A6D7B">
        <w:rPr>
          <w:rFonts w:ascii="Times New Roman" w:hAnsi="Times New Roman" w:cs="Times New Roman"/>
          <w:sz w:val="24"/>
          <w:szCs w:val="24"/>
        </w:rPr>
        <w:t>iza</w:t>
      </w:r>
      <w:r w:rsidR="001D3193" w:rsidRPr="003A6D7B">
        <w:rPr>
          <w:rFonts w:ascii="Times New Roman" w:hAnsi="Times New Roman" w:cs="Times New Roman"/>
          <w:sz w:val="24"/>
          <w:szCs w:val="24"/>
        </w:rPr>
        <w:t xml:space="preserve"> 2026. godine</w:t>
      </w:r>
      <w:r w:rsidR="00AA454F" w:rsidRPr="003A6D7B">
        <w:rPr>
          <w:rFonts w:ascii="Times New Roman" w:hAnsi="Times New Roman" w:cs="Times New Roman"/>
          <w:sz w:val="24"/>
          <w:szCs w:val="24"/>
        </w:rPr>
        <w:t>,</w:t>
      </w:r>
      <w:r w:rsidR="001D3193" w:rsidRPr="003A6D7B">
        <w:rPr>
          <w:rFonts w:ascii="Times New Roman" w:hAnsi="Times New Roman" w:cs="Times New Roman"/>
          <w:sz w:val="24"/>
          <w:szCs w:val="24"/>
        </w:rPr>
        <w:t xml:space="preserve"> Fond </w:t>
      </w:r>
      <w:r w:rsidR="00AA454F" w:rsidRPr="003A6D7B">
        <w:rPr>
          <w:rFonts w:ascii="Times New Roman" w:hAnsi="Times New Roman" w:cs="Times New Roman"/>
          <w:sz w:val="24"/>
          <w:szCs w:val="24"/>
        </w:rPr>
        <w:t xml:space="preserve">će u 2023. pokrenuti </w:t>
      </w:r>
      <w:r w:rsidR="001D3193" w:rsidRPr="003A6D7B">
        <w:rPr>
          <w:rFonts w:ascii="Times New Roman" w:hAnsi="Times New Roman" w:cs="Times New Roman"/>
          <w:sz w:val="24"/>
          <w:szCs w:val="24"/>
        </w:rPr>
        <w:t xml:space="preserve"> izradu podloga koje će poslužiti za izradu nacrta prijedloga Nacionalnog programa i potrebnih aktivnosti za njegovo usvajanje, uključivo i ocjenu o potrebi strateške procjene utjecaja Nacionalnog programa na okoliš te pripremi strateške procjene utjecaja na okoliš ukoliko bude </w:t>
      </w:r>
      <w:r w:rsidR="001D3193" w:rsidRPr="003A6D7B">
        <w:rPr>
          <w:rFonts w:ascii="Times New Roman" w:hAnsi="Times New Roman" w:cs="Times New Roman"/>
          <w:sz w:val="24"/>
          <w:szCs w:val="24"/>
        </w:rPr>
        <w:lastRenderedPageBreak/>
        <w:t xml:space="preserve">potrebna, sukladno odredbama Zakona o zaštiti okoliša </w:t>
      </w:r>
      <w:r w:rsidR="003D6D30" w:rsidRPr="003A6D7B">
        <w:rPr>
          <w:rFonts w:ascii="Times New Roman" w:hAnsi="Times New Roman" w:cs="Times New Roman"/>
          <w:sz w:val="24"/>
          <w:szCs w:val="24"/>
        </w:rPr>
        <w:t>(N</w:t>
      </w:r>
      <w:r w:rsidR="00AA454F" w:rsidRPr="003A6D7B">
        <w:rPr>
          <w:rFonts w:ascii="Times New Roman" w:hAnsi="Times New Roman" w:cs="Times New Roman"/>
          <w:sz w:val="24"/>
          <w:szCs w:val="24"/>
        </w:rPr>
        <w:t>N</w:t>
      </w:r>
      <w:r w:rsidR="003D6D30" w:rsidRPr="003A6D7B">
        <w:rPr>
          <w:rFonts w:ascii="Times New Roman" w:hAnsi="Times New Roman" w:cs="Times New Roman"/>
          <w:sz w:val="24"/>
          <w:szCs w:val="24"/>
        </w:rPr>
        <w:t xml:space="preserve"> 80/13, 153/13, 78/15, 12/18, 118/18) </w:t>
      </w:r>
      <w:r w:rsidR="001D3193" w:rsidRPr="003A6D7B">
        <w:rPr>
          <w:rFonts w:ascii="Times New Roman" w:hAnsi="Times New Roman" w:cs="Times New Roman"/>
          <w:sz w:val="24"/>
          <w:szCs w:val="24"/>
        </w:rPr>
        <w:t>i Uredbe o strateškoj procjeni utjecaja strategije, plana i programa na okoliš</w:t>
      </w:r>
      <w:r w:rsidR="003D6D30" w:rsidRPr="003A6D7B">
        <w:rPr>
          <w:rFonts w:ascii="Times New Roman" w:hAnsi="Times New Roman" w:cs="Times New Roman"/>
          <w:sz w:val="24"/>
          <w:szCs w:val="24"/>
        </w:rPr>
        <w:t xml:space="preserve"> (NN</w:t>
      </w:r>
      <w:r w:rsidR="00AA454F" w:rsidRPr="003A6D7B">
        <w:rPr>
          <w:rFonts w:ascii="Times New Roman" w:hAnsi="Times New Roman" w:cs="Times New Roman"/>
          <w:sz w:val="24"/>
          <w:szCs w:val="24"/>
        </w:rPr>
        <w:t xml:space="preserve"> </w:t>
      </w:r>
      <w:r w:rsidR="003D6D30" w:rsidRPr="003A6D7B">
        <w:rPr>
          <w:rFonts w:ascii="Times New Roman" w:hAnsi="Times New Roman" w:cs="Times New Roman"/>
          <w:sz w:val="24"/>
          <w:szCs w:val="24"/>
        </w:rPr>
        <w:t>3/17)</w:t>
      </w:r>
      <w:r w:rsidR="001D3193" w:rsidRPr="003A6D7B">
        <w:rPr>
          <w:rFonts w:ascii="Times New Roman" w:hAnsi="Times New Roman" w:cs="Times New Roman"/>
          <w:sz w:val="24"/>
          <w:szCs w:val="24"/>
        </w:rPr>
        <w:t xml:space="preserve">. </w:t>
      </w:r>
    </w:p>
    <w:p w14:paraId="767FE453" w14:textId="069B3031" w:rsidR="00952571" w:rsidRPr="003A6D7B" w:rsidRDefault="001D3193" w:rsidP="0074392A">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Prema obvezama iz članka </w:t>
      </w:r>
      <w:r w:rsidR="00D268EC" w:rsidRPr="003A6D7B">
        <w:rPr>
          <w:rFonts w:ascii="Times New Roman" w:hAnsi="Times New Roman" w:cs="Times New Roman"/>
          <w:sz w:val="24"/>
          <w:szCs w:val="24"/>
        </w:rPr>
        <w:t>69. Zakona o radiološkoj i nuklearnoj sigurnosti, preuzet</w:t>
      </w:r>
      <w:r w:rsidR="00925CC0" w:rsidRPr="003A6D7B">
        <w:rPr>
          <w:rFonts w:ascii="Times New Roman" w:hAnsi="Times New Roman" w:cs="Times New Roman"/>
          <w:sz w:val="24"/>
          <w:szCs w:val="24"/>
        </w:rPr>
        <w:t>ih</w:t>
      </w:r>
      <w:r w:rsidR="00D268EC" w:rsidRPr="003A6D7B">
        <w:rPr>
          <w:rFonts w:ascii="Times New Roman" w:hAnsi="Times New Roman" w:cs="Times New Roman"/>
          <w:sz w:val="24"/>
          <w:szCs w:val="24"/>
        </w:rPr>
        <w:t xml:space="preserve"> iz članka</w:t>
      </w:r>
      <w:r w:rsidR="00170038" w:rsidRPr="003A6D7B">
        <w:rPr>
          <w:rFonts w:ascii="Times New Roman" w:hAnsi="Times New Roman" w:cs="Times New Roman"/>
          <w:sz w:val="24"/>
          <w:szCs w:val="24"/>
        </w:rPr>
        <w:t xml:space="preserve"> </w:t>
      </w:r>
      <w:r w:rsidRPr="003A6D7B">
        <w:rPr>
          <w:rFonts w:ascii="Times New Roman" w:hAnsi="Times New Roman" w:cs="Times New Roman"/>
          <w:sz w:val="24"/>
          <w:szCs w:val="24"/>
        </w:rPr>
        <w:t>14.3. Direktive 2011/70/EURATOM</w:t>
      </w:r>
      <w:r w:rsidR="0074392A" w:rsidRPr="003A6D7B">
        <w:rPr>
          <w:rFonts w:ascii="Times New Roman" w:hAnsi="Times New Roman" w:cs="Times New Roman"/>
          <w:sz w:val="24"/>
          <w:szCs w:val="24"/>
        </w:rPr>
        <w:t xml:space="preserve">, države EU svakih 10 godina, provode samo-ocjenjivanje te omogućuju međunarodni stručni pregled nacionalnog okvira, nadležnog regulatornog tijela, nacionalnog programa i njegove provedbe kako bi osigurale ispunjavanje visokih sigurnosnih normi za sigurno gospodarenje istrošenim gorivom i radioaktivnim otpadom. Rezultati svakog stručnog pregleda se javno objavljuju, ako to nije u suprotnosti sa sigurnosnim i zaštićenim informacijama. U </w:t>
      </w:r>
      <w:r w:rsidR="00AA454F" w:rsidRPr="003A6D7B">
        <w:rPr>
          <w:rFonts w:ascii="Times New Roman" w:hAnsi="Times New Roman" w:cs="Times New Roman"/>
          <w:sz w:val="24"/>
          <w:szCs w:val="24"/>
        </w:rPr>
        <w:t xml:space="preserve">lipnju </w:t>
      </w:r>
      <w:r w:rsidR="0074392A" w:rsidRPr="003A6D7B">
        <w:rPr>
          <w:rFonts w:ascii="Times New Roman" w:hAnsi="Times New Roman" w:cs="Times New Roman"/>
          <w:sz w:val="24"/>
          <w:szCs w:val="24"/>
        </w:rPr>
        <w:t>2023. je sukladno navedenim obvezama planiran nezavisni pregled stručnjaka u okviru ARTEMIS misije i sredstva potrebna za provedbu</w:t>
      </w:r>
      <w:r w:rsidR="008B4D28" w:rsidRPr="003A6D7B">
        <w:rPr>
          <w:rFonts w:ascii="Times New Roman" w:hAnsi="Times New Roman" w:cs="Times New Roman"/>
          <w:sz w:val="24"/>
          <w:szCs w:val="24"/>
        </w:rPr>
        <w:t xml:space="preserve"> te misije</w:t>
      </w:r>
      <w:r w:rsidR="0074392A" w:rsidRPr="003A6D7B">
        <w:rPr>
          <w:rFonts w:ascii="Times New Roman" w:hAnsi="Times New Roman" w:cs="Times New Roman"/>
          <w:sz w:val="24"/>
          <w:szCs w:val="24"/>
        </w:rPr>
        <w:t>.</w:t>
      </w:r>
    </w:p>
    <w:p w14:paraId="2480A469" w14:textId="22FC95D0" w:rsidR="003A23D6" w:rsidRPr="003A6D7B" w:rsidRDefault="003A23D6" w:rsidP="00902811">
      <w:pPr>
        <w:pStyle w:val="Heading2"/>
        <w:spacing w:line="276" w:lineRule="auto"/>
        <w:jc w:val="left"/>
        <w:rPr>
          <w:rFonts w:ascii="Times New Roman" w:hAnsi="Times New Roman" w:cs="Times New Roman"/>
        </w:rPr>
      </w:pPr>
      <w:bookmarkStart w:id="19" w:name="_Toc436289110"/>
      <w:bookmarkStart w:id="20" w:name="_Toc466982868"/>
      <w:bookmarkStart w:id="21" w:name="_Toc499291491"/>
      <w:bookmarkStart w:id="22" w:name="_Toc531182949"/>
      <w:bookmarkStart w:id="23" w:name="_Toc531340700"/>
      <w:bookmarkStart w:id="24" w:name="_Toc26742729"/>
      <w:bookmarkStart w:id="25" w:name="_Toc58937039"/>
      <w:bookmarkStart w:id="26" w:name="_Toc59178428"/>
      <w:bookmarkStart w:id="27" w:name="_Toc62050178"/>
      <w:bookmarkStart w:id="28" w:name="_Toc130809349"/>
      <w:r w:rsidRPr="003A6D7B">
        <w:rPr>
          <w:rFonts w:ascii="Times New Roman" w:hAnsi="Times New Roman" w:cs="Times New Roman"/>
        </w:rPr>
        <w:t>Uspostava Centra za zbrinjavanje radioaktivnog otpada</w:t>
      </w:r>
      <w:bookmarkEnd w:id="19"/>
      <w:bookmarkEnd w:id="20"/>
      <w:bookmarkEnd w:id="21"/>
      <w:bookmarkEnd w:id="22"/>
      <w:bookmarkEnd w:id="23"/>
      <w:bookmarkEnd w:id="24"/>
      <w:bookmarkEnd w:id="25"/>
      <w:bookmarkEnd w:id="26"/>
      <w:bookmarkEnd w:id="27"/>
      <w:bookmarkEnd w:id="28"/>
    </w:p>
    <w:p w14:paraId="763008B6" w14:textId="243BF0AA" w:rsidR="003A23D6" w:rsidRPr="003A6D7B" w:rsidRDefault="003A23D6" w:rsidP="00902811">
      <w:pPr>
        <w:spacing w:line="276" w:lineRule="auto"/>
        <w:rPr>
          <w:rFonts w:ascii="Times New Roman" w:hAnsi="Times New Roman" w:cs="Times New Roman"/>
          <w:sz w:val="24"/>
          <w:szCs w:val="24"/>
        </w:rPr>
      </w:pPr>
      <w:bookmarkStart w:id="29" w:name="_Toc404958947"/>
      <w:bookmarkStart w:id="30" w:name="_Toc404959295"/>
      <w:bookmarkStart w:id="31" w:name="_Toc404958948"/>
      <w:bookmarkStart w:id="32" w:name="_Toc404959296"/>
      <w:bookmarkStart w:id="33" w:name="_Toc404958949"/>
      <w:bookmarkStart w:id="34" w:name="_Toc404959297"/>
      <w:bookmarkEnd w:id="29"/>
      <w:bookmarkEnd w:id="30"/>
      <w:bookmarkEnd w:id="31"/>
      <w:bookmarkEnd w:id="32"/>
      <w:bookmarkEnd w:id="33"/>
      <w:bookmarkEnd w:id="34"/>
      <w:r w:rsidRPr="003A6D7B">
        <w:rPr>
          <w:rFonts w:ascii="Times New Roman" w:hAnsi="Times New Roman" w:cs="Times New Roman"/>
          <w:sz w:val="24"/>
          <w:szCs w:val="24"/>
        </w:rPr>
        <w:t xml:space="preserve">Obveza uspostave Centra za zbrinjavanje radioaktivnog otpada i s time povezane aktivnosti propisane su Zakonom o radiološkoj i nuklearnoj sigurnosti, Strategijom zbrinjavanja radioaktivnog otpada, iskorištenih izvora i istrošenoga nuklearnog goriva </w:t>
      </w:r>
      <w:r w:rsidR="00AA454F" w:rsidRPr="003A6D7B">
        <w:rPr>
          <w:rFonts w:ascii="Times New Roman" w:hAnsi="Times New Roman" w:cs="Times New Roman"/>
          <w:sz w:val="24"/>
          <w:szCs w:val="24"/>
        </w:rPr>
        <w:t>(NN</w:t>
      </w:r>
      <w:r w:rsidRPr="003A6D7B">
        <w:rPr>
          <w:rFonts w:ascii="Times New Roman" w:hAnsi="Times New Roman" w:cs="Times New Roman"/>
          <w:sz w:val="24"/>
          <w:szCs w:val="24"/>
        </w:rPr>
        <w:t xml:space="preserve"> 125/14) i Nacionalnim programom provedbe Strategije zbrinjavanja radioaktivnog otpada, iskorištenih izvora i istrošenog nuklearnog goriva (Program za razdoblje do 2025. godine s pogledom do 2060. godine)</w:t>
      </w:r>
      <w:r w:rsidR="00B21F53" w:rsidRPr="003A6D7B">
        <w:rPr>
          <w:rFonts w:ascii="Times New Roman" w:hAnsi="Times New Roman" w:cs="Times New Roman"/>
          <w:sz w:val="24"/>
          <w:szCs w:val="24"/>
        </w:rPr>
        <w:t xml:space="preserve"> te izmjenama i dopunama </w:t>
      </w:r>
      <w:r w:rsidR="00B21F53" w:rsidRPr="00CD290C">
        <w:rPr>
          <w:rFonts w:ascii="Times New Roman" w:hAnsi="Times New Roman" w:cs="Times New Roman"/>
          <w:sz w:val="24"/>
          <w:szCs w:val="24"/>
        </w:rPr>
        <w:t xml:space="preserve">Nacionalnog programa </w:t>
      </w:r>
      <w:r w:rsidR="00D03CC8" w:rsidRPr="00AF4F25">
        <w:rPr>
          <w:rFonts w:ascii="Times New Roman" w:hAnsi="Times New Roman" w:cs="Times New Roman"/>
          <w:sz w:val="24"/>
          <w:szCs w:val="24"/>
        </w:rPr>
        <w:t>koje su usvojene 30.12.2022 godine (Odluka o donošenju Izmjena i dopuna Nacionalnog programa</w:t>
      </w:r>
      <w:r w:rsidR="00AF4F25">
        <w:rPr>
          <w:rFonts w:ascii="Times New Roman" w:hAnsi="Times New Roman" w:cs="Times New Roman"/>
          <w:sz w:val="24"/>
          <w:szCs w:val="24"/>
        </w:rPr>
        <w:t>,</w:t>
      </w:r>
      <w:r w:rsidR="00D03CC8" w:rsidRPr="00AF4F25">
        <w:rPr>
          <w:rFonts w:ascii="Times New Roman" w:hAnsi="Times New Roman" w:cs="Times New Roman"/>
          <w:sz w:val="24"/>
          <w:szCs w:val="24"/>
        </w:rPr>
        <w:t xml:space="preserve"> NN 156/2022)</w:t>
      </w:r>
      <w:r w:rsidRPr="00CD290C">
        <w:rPr>
          <w:rFonts w:ascii="Times New Roman" w:hAnsi="Times New Roman" w:cs="Times New Roman"/>
          <w:sz w:val="24"/>
          <w:szCs w:val="24"/>
        </w:rPr>
        <w:t>.</w:t>
      </w:r>
      <w:r w:rsidRPr="003A6D7B">
        <w:rPr>
          <w:rFonts w:ascii="Times New Roman" w:hAnsi="Times New Roman" w:cs="Times New Roman"/>
          <w:sz w:val="24"/>
          <w:szCs w:val="24"/>
        </w:rPr>
        <w:t xml:space="preserve"> Način financiranja navedenih aktivnosti propisat će se Uredbom koju donosi Vlada Republike Hrvatske.</w:t>
      </w:r>
    </w:p>
    <w:p w14:paraId="0F857FDB" w14:textId="0D8CC5F7" w:rsidR="00ED4D76" w:rsidRPr="003A6D7B" w:rsidRDefault="00AA454F" w:rsidP="00597B9F">
      <w:pPr>
        <w:spacing w:after="240" w:line="276" w:lineRule="auto"/>
        <w:rPr>
          <w:rFonts w:ascii="Times New Roman" w:hAnsi="Times New Roman" w:cs="Times New Roman"/>
          <w:sz w:val="24"/>
          <w:szCs w:val="24"/>
        </w:rPr>
      </w:pPr>
      <w:r w:rsidRPr="003A6D7B">
        <w:rPr>
          <w:rFonts w:ascii="Times New Roman" w:hAnsi="Times New Roman" w:cs="Times New Roman"/>
          <w:sz w:val="24"/>
          <w:szCs w:val="24"/>
        </w:rPr>
        <w:t xml:space="preserve">Postupak uspostave </w:t>
      </w:r>
      <w:r w:rsidR="003A23D6" w:rsidRPr="003A6D7B">
        <w:rPr>
          <w:rFonts w:ascii="Times New Roman" w:hAnsi="Times New Roman" w:cs="Times New Roman"/>
          <w:sz w:val="24"/>
          <w:szCs w:val="24"/>
        </w:rPr>
        <w:t>Centra za zbrinjavanje RAO-a</w:t>
      </w:r>
      <w:r w:rsidRPr="003A6D7B">
        <w:rPr>
          <w:rFonts w:ascii="Times New Roman" w:hAnsi="Times New Roman" w:cs="Times New Roman"/>
          <w:sz w:val="24"/>
          <w:szCs w:val="24"/>
        </w:rPr>
        <w:t xml:space="preserve"> intenziviran je krajem 2019. </w:t>
      </w:r>
      <w:r w:rsidR="00ED4D76" w:rsidRPr="003A6D7B">
        <w:rPr>
          <w:rFonts w:ascii="Times New Roman" w:hAnsi="Times New Roman" w:cs="Times New Roman"/>
          <w:sz w:val="24"/>
          <w:szCs w:val="24"/>
        </w:rPr>
        <w:t>nakon</w:t>
      </w:r>
      <w:r w:rsidR="003A23D6" w:rsidRPr="003A6D7B">
        <w:rPr>
          <w:rFonts w:ascii="Times New Roman" w:hAnsi="Times New Roman" w:cs="Times New Roman"/>
          <w:sz w:val="24"/>
          <w:szCs w:val="24"/>
        </w:rPr>
        <w:t xml:space="preserve"> 13. sjednic</w:t>
      </w:r>
      <w:r w:rsidR="00ED4D76" w:rsidRPr="003A6D7B">
        <w:rPr>
          <w:rFonts w:ascii="Times New Roman" w:hAnsi="Times New Roman" w:cs="Times New Roman"/>
          <w:sz w:val="24"/>
          <w:szCs w:val="24"/>
        </w:rPr>
        <w:t xml:space="preserve">e Međudržavnog povjerenstva održane </w:t>
      </w:r>
      <w:r w:rsidR="003A23D6" w:rsidRPr="003A6D7B">
        <w:rPr>
          <w:rFonts w:ascii="Times New Roman" w:hAnsi="Times New Roman" w:cs="Times New Roman"/>
          <w:sz w:val="24"/>
          <w:szCs w:val="24"/>
        </w:rPr>
        <w:t xml:space="preserve"> 30. rujna 2019. godine, gdje je zaključeno da nije moguće zajedničko rješenje vezano uz odlaganje </w:t>
      </w:r>
      <w:r w:rsidR="00DF2A2B" w:rsidRPr="003A6D7B">
        <w:rPr>
          <w:rFonts w:ascii="Times New Roman" w:hAnsi="Times New Roman" w:cs="Times New Roman"/>
          <w:sz w:val="24"/>
          <w:szCs w:val="24"/>
        </w:rPr>
        <w:t>NSRAO-a</w:t>
      </w:r>
      <w:r w:rsidR="003A23D6" w:rsidRPr="003A6D7B">
        <w:rPr>
          <w:rFonts w:ascii="Times New Roman" w:hAnsi="Times New Roman" w:cs="Times New Roman"/>
          <w:sz w:val="24"/>
          <w:szCs w:val="24"/>
        </w:rPr>
        <w:t xml:space="preserve"> te da svaka država mora nastaviti s razvojem i implementacijom vlastitog rješenja zbrinjavanja svoje polovice </w:t>
      </w:r>
      <w:r w:rsidR="00DF2A2B" w:rsidRPr="003A6D7B">
        <w:rPr>
          <w:rFonts w:ascii="Times New Roman" w:hAnsi="Times New Roman" w:cs="Times New Roman"/>
          <w:sz w:val="24"/>
          <w:szCs w:val="24"/>
        </w:rPr>
        <w:t>NSRAO-a</w:t>
      </w:r>
      <w:r w:rsidR="003A23D6" w:rsidRPr="003A6D7B">
        <w:rPr>
          <w:rFonts w:ascii="Times New Roman" w:hAnsi="Times New Roman" w:cs="Times New Roman"/>
          <w:sz w:val="24"/>
          <w:szCs w:val="24"/>
        </w:rPr>
        <w:t xml:space="preserve"> nastalog radom i razgradnjom N</w:t>
      </w:r>
      <w:r w:rsidR="00DF2A2B" w:rsidRPr="003A6D7B">
        <w:rPr>
          <w:rFonts w:ascii="Times New Roman" w:hAnsi="Times New Roman" w:cs="Times New Roman"/>
          <w:sz w:val="24"/>
          <w:szCs w:val="24"/>
        </w:rPr>
        <w:t>E</w:t>
      </w:r>
      <w:r w:rsidR="003A23D6" w:rsidRPr="003A6D7B">
        <w:rPr>
          <w:rFonts w:ascii="Times New Roman" w:hAnsi="Times New Roman" w:cs="Times New Roman"/>
          <w:sz w:val="24"/>
          <w:szCs w:val="24"/>
        </w:rPr>
        <w:t xml:space="preserve"> Krško. </w:t>
      </w:r>
    </w:p>
    <w:p w14:paraId="2D88E86E" w14:textId="3CC7F687" w:rsidR="003A23D6" w:rsidRPr="003A6D7B" w:rsidRDefault="003A23D6" w:rsidP="00F56418">
      <w:pPr>
        <w:pStyle w:val="Heading3"/>
        <w:spacing w:before="120" w:line="276" w:lineRule="auto"/>
        <w:rPr>
          <w:rFonts w:ascii="Times New Roman" w:hAnsi="Times New Roman" w:cs="Times New Roman"/>
          <w:sz w:val="28"/>
          <w:szCs w:val="28"/>
        </w:rPr>
      </w:pPr>
      <w:bookmarkStart w:id="35" w:name="_Toc58937040"/>
      <w:bookmarkStart w:id="36" w:name="_Toc59178429"/>
      <w:bookmarkStart w:id="37" w:name="_Toc62050179"/>
      <w:bookmarkStart w:id="38" w:name="_Toc130809350"/>
      <w:r w:rsidRPr="003A6D7B">
        <w:rPr>
          <w:rFonts w:ascii="Times New Roman" w:hAnsi="Times New Roman" w:cs="Times New Roman"/>
          <w:sz w:val="28"/>
          <w:szCs w:val="28"/>
        </w:rPr>
        <w:t>Prostorno-planerske i imovinsko pravne aktivnosti radi usklađivanja zahvata s dokumentom prostornog uređenja</w:t>
      </w:r>
      <w:bookmarkEnd w:id="35"/>
      <w:bookmarkEnd w:id="36"/>
      <w:bookmarkEnd w:id="37"/>
      <w:bookmarkEnd w:id="38"/>
    </w:p>
    <w:p w14:paraId="7849933B" w14:textId="77777777" w:rsidR="003A23D6" w:rsidRPr="003A6D7B" w:rsidRDefault="003A23D6" w:rsidP="00597B9F">
      <w:pPr>
        <w:spacing w:before="120" w:line="276" w:lineRule="auto"/>
        <w:ind w:left="851"/>
        <w:rPr>
          <w:rFonts w:ascii="Times New Roman" w:hAnsi="Times New Roman" w:cs="Times New Roman"/>
          <w:sz w:val="24"/>
          <w:szCs w:val="24"/>
        </w:rPr>
      </w:pPr>
      <w:r w:rsidRPr="003A6D7B">
        <w:rPr>
          <w:rFonts w:ascii="Times New Roman" w:hAnsi="Times New Roman" w:cs="Times New Roman"/>
          <w:sz w:val="24"/>
          <w:szCs w:val="24"/>
        </w:rPr>
        <w:t>Nacionalni program kao preferentnu lokaciju za uspostavu Centra za zbrinjavanje radioaktivnog otpada navodi lokaciju bivšeg VSK Čerkezovac, smještenu u Općini Dvor na južnim obroncima masiva Trgovske gore.</w:t>
      </w:r>
    </w:p>
    <w:p w14:paraId="39A24561" w14:textId="5F6DF2DF" w:rsidR="003A23D6" w:rsidRPr="003A6D7B" w:rsidRDefault="003A23D6" w:rsidP="00ED4D76">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Kako bi se mogao pokrenuti postupak izdavanja lokacijske dozvole za skladišta RAO-a na lokaciji Čerkezovac potrebno je unijeti lokaciju u prostorne </w:t>
      </w:r>
      <w:r w:rsidRPr="003A6D7B">
        <w:rPr>
          <w:rFonts w:ascii="Times New Roman" w:hAnsi="Times New Roman" w:cs="Times New Roman"/>
          <w:sz w:val="24"/>
          <w:szCs w:val="24"/>
        </w:rPr>
        <w:lastRenderedPageBreak/>
        <w:t xml:space="preserve">planove. Prema Uredbi o određivanju građevina, drugih zahvata u prostoru i površina državnog i područnog (regionalnog) značaja </w:t>
      </w:r>
      <w:r w:rsidR="00ED4D76" w:rsidRPr="003A6D7B">
        <w:rPr>
          <w:rFonts w:ascii="Times New Roman" w:hAnsi="Times New Roman" w:cs="Times New Roman"/>
          <w:sz w:val="24"/>
          <w:szCs w:val="24"/>
        </w:rPr>
        <w:t>(NN</w:t>
      </w:r>
      <w:r w:rsidRPr="003A6D7B">
        <w:rPr>
          <w:rFonts w:ascii="Times New Roman" w:hAnsi="Times New Roman" w:cs="Times New Roman"/>
          <w:sz w:val="24"/>
          <w:szCs w:val="24"/>
        </w:rPr>
        <w:t>. 37/14</w:t>
      </w:r>
      <w:r w:rsidR="00831E9A" w:rsidRPr="003A6D7B">
        <w:rPr>
          <w:rFonts w:ascii="Times New Roman" w:hAnsi="Times New Roman" w:cs="Times New Roman"/>
          <w:sz w:val="24"/>
          <w:szCs w:val="24"/>
        </w:rPr>
        <w:t>,</w:t>
      </w:r>
      <w:r w:rsidRPr="003A6D7B">
        <w:rPr>
          <w:rFonts w:ascii="Times New Roman" w:hAnsi="Times New Roman" w:cs="Times New Roman"/>
          <w:sz w:val="24"/>
          <w:szCs w:val="24"/>
        </w:rPr>
        <w:t xml:space="preserve"> 154/14</w:t>
      </w:r>
      <w:r w:rsidR="00831E9A" w:rsidRPr="003A6D7B">
        <w:rPr>
          <w:rFonts w:ascii="Times New Roman" w:hAnsi="Times New Roman" w:cs="Times New Roman"/>
          <w:sz w:val="24"/>
          <w:szCs w:val="24"/>
        </w:rPr>
        <w:t xml:space="preserve"> i 30/21</w:t>
      </w:r>
      <w:r w:rsidRPr="003A6D7B">
        <w:rPr>
          <w:rFonts w:ascii="Times New Roman" w:hAnsi="Times New Roman" w:cs="Times New Roman"/>
          <w:sz w:val="24"/>
          <w:szCs w:val="24"/>
        </w:rPr>
        <w:t xml:space="preserve">), građevine za skladištenje i odlaganje RAO-a definirane su kao građevine državnog značaja i u skladu s čl. 67. Zakona o prostornom uređenju </w:t>
      </w:r>
      <w:r w:rsidR="00ED4D76" w:rsidRPr="003A6D7B">
        <w:rPr>
          <w:rFonts w:ascii="Times New Roman" w:hAnsi="Times New Roman" w:cs="Times New Roman"/>
          <w:sz w:val="24"/>
          <w:szCs w:val="24"/>
        </w:rPr>
        <w:t>(NN</w:t>
      </w:r>
      <w:r w:rsidRPr="003A6D7B">
        <w:rPr>
          <w:rFonts w:ascii="Times New Roman" w:hAnsi="Times New Roman" w:cs="Times New Roman"/>
          <w:sz w:val="24"/>
          <w:szCs w:val="24"/>
        </w:rPr>
        <w:t xml:space="preserve"> 153/13, 65/17, 114/18, 39/19, 98/19) određuju se Državnim planom prostornog razvoja (DPPR). Prema Strategiji prostornog razvoja Republike Hrvatske </w:t>
      </w:r>
      <w:r w:rsidR="00ED4D76" w:rsidRPr="003A6D7B">
        <w:rPr>
          <w:rFonts w:ascii="Times New Roman" w:hAnsi="Times New Roman" w:cs="Times New Roman"/>
          <w:sz w:val="24"/>
          <w:szCs w:val="24"/>
        </w:rPr>
        <w:t>(NN</w:t>
      </w:r>
      <w:r w:rsidRPr="003A6D7B">
        <w:rPr>
          <w:rFonts w:ascii="Times New Roman" w:hAnsi="Times New Roman" w:cs="Times New Roman"/>
          <w:sz w:val="24"/>
          <w:szCs w:val="24"/>
        </w:rPr>
        <w:t xml:space="preserve"> 106/17) za konačno </w:t>
      </w:r>
      <w:r w:rsidR="00E02978" w:rsidRPr="003A6D7B">
        <w:rPr>
          <w:rFonts w:ascii="Times New Roman" w:hAnsi="Times New Roman" w:cs="Times New Roman"/>
          <w:sz w:val="24"/>
          <w:szCs w:val="24"/>
        </w:rPr>
        <w:t xml:space="preserve">potvrđivanje </w:t>
      </w:r>
      <w:r w:rsidRPr="003A6D7B">
        <w:rPr>
          <w:rFonts w:ascii="Times New Roman" w:hAnsi="Times New Roman" w:cs="Times New Roman"/>
          <w:sz w:val="24"/>
          <w:szCs w:val="24"/>
        </w:rPr>
        <w:t>lokacije Centra potrebno je</w:t>
      </w:r>
      <w:r w:rsidR="00ED4D76"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prethodno provesti odgovarajuća istraživanja te transparentnost u donošenju odluka; zadovoljiti najviše sigurnosne standarde za zaštitu pojedinaca, društva i okoliša; uzeti u obzir ograničenja vezana uz ekološku mrežu; sa stajališta prostornog razvoja uklopiti Centar u osnovnu koncepciju korištenja prostornih resursa te prioritete i strateška usmjerenja i održivost prostorne organizacije te pažljivo odrediti načine korištenja okolnog zemljišta s obzirom na aktivnosti Centra. Za područja određena DPPR-om, sukladno </w:t>
      </w:r>
      <w:r w:rsidR="00831E9A" w:rsidRPr="003A6D7B">
        <w:rPr>
          <w:rFonts w:ascii="Times New Roman" w:hAnsi="Times New Roman" w:cs="Times New Roman"/>
          <w:sz w:val="24"/>
          <w:szCs w:val="24"/>
        </w:rPr>
        <w:t xml:space="preserve">važećem </w:t>
      </w:r>
      <w:r w:rsidRPr="003A6D7B">
        <w:rPr>
          <w:rFonts w:ascii="Times New Roman" w:hAnsi="Times New Roman" w:cs="Times New Roman"/>
          <w:sz w:val="24"/>
          <w:szCs w:val="24"/>
        </w:rPr>
        <w:t>Zakonu o prostornom uređenju (čl. 70.), obvezna je izrada Urbanističkog plana uređenja državnog značaja (UPUDR) i to temeljem smjernica definiranih u DPPR-u. UPUDR propisuje uvjete provedbe svih zahvata u prostoru unutar svog obuhvata i uvjete provedbe infrastrukture</w:t>
      </w:r>
      <w:r w:rsidRPr="003A6D7B">
        <w:rPr>
          <w:rFonts w:ascii="Times New Roman" w:hAnsi="Times New Roman" w:cs="Times New Roman"/>
        </w:rPr>
        <w:t xml:space="preserve"> </w:t>
      </w:r>
      <w:r w:rsidRPr="003A6D7B">
        <w:rPr>
          <w:rFonts w:ascii="Times New Roman" w:hAnsi="Times New Roman" w:cs="Times New Roman"/>
          <w:sz w:val="24"/>
          <w:szCs w:val="24"/>
        </w:rPr>
        <w:t>izvan područja za koje se donosi UPU za potrebe tog područja.</w:t>
      </w:r>
      <w:r w:rsidR="00831E9A" w:rsidRPr="003A6D7B">
        <w:rPr>
          <w:rFonts w:ascii="Times New Roman" w:hAnsi="Times New Roman" w:cs="Times New Roman"/>
          <w:sz w:val="24"/>
          <w:szCs w:val="24"/>
        </w:rPr>
        <w:t xml:space="preserve"> U tijeku su izmjene i dopune Zakona o prostornom uređenju kojima će se omogućiti parcijalno donošenje DPPR-a</w:t>
      </w:r>
      <w:r w:rsidR="00815D00" w:rsidRPr="003A6D7B">
        <w:rPr>
          <w:rFonts w:ascii="Times New Roman" w:hAnsi="Times New Roman" w:cs="Times New Roman"/>
          <w:sz w:val="24"/>
          <w:szCs w:val="24"/>
        </w:rPr>
        <w:t xml:space="preserve">, a u 2023. </w:t>
      </w:r>
      <w:r w:rsidR="00153802" w:rsidRPr="003A6D7B">
        <w:rPr>
          <w:rFonts w:ascii="Times New Roman" w:hAnsi="Times New Roman" w:cs="Times New Roman"/>
          <w:sz w:val="24"/>
          <w:szCs w:val="24"/>
        </w:rPr>
        <w:t>je predviđena izrada podloga za novi parcijalni DPPR.</w:t>
      </w:r>
      <w:r w:rsidR="00831E9A" w:rsidRPr="003A6D7B">
        <w:rPr>
          <w:rFonts w:ascii="Times New Roman" w:hAnsi="Times New Roman" w:cs="Times New Roman"/>
          <w:sz w:val="24"/>
          <w:szCs w:val="24"/>
        </w:rPr>
        <w:t xml:space="preserve"> </w:t>
      </w:r>
    </w:p>
    <w:p w14:paraId="09B4D3B3" w14:textId="1F354B82" w:rsidR="007B4F2C" w:rsidRPr="003A6D7B" w:rsidRDefault="00220EAA" w:rsidP="00597B9F">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Analiza pristupnih puteva i cesta kojima će se NSRAO prevesti do Centra za zbrinjavanje RAO ukazala je na nedovoljno dobro stanje prometnice te potrebu za rekonstrukcijom pristupne ceste Centra (oko 560 m) te dionic</w:t>
      </w:r>
      <w:r w:rsidR="00DF0751" w:rsidRPr="003A6D7B">
        <w:rPr>
          <w:rFonts w:ascii="Times New Roman" w:hAnsi="Times New Roman" w:cs="Times New Roman"/>
          <w:sz w:val="24"/>
          <w:szCs w:val="24"/>
        </w:rPr>
        <w:t>e</w:t>
      </w:r>
      <w:r w:rsidRPr="003A6D7B">
        <w:rPr>
          <w:rFonts w:ascii="Times New Roman" w:hAnsi="Times New Roman" w:cs="Times New Roman"/>
          <w:sz w:val="24"/>
          <w:szCs w:val="24"/>
        </w:rPr>
        <w:t xml:space="preserve"> lokalne ceste LC33175</w:t>
      </w:r>
      <w:r w:rsidR="00DF0751" w:rsidRPr="003A6D7B">
        <w:rPr>
          <w:rFonts w:ascii="Times New Roman" w:hAnsi="Times New Roman" w:cs="Times New Roman"/>
          <w:sz w:val="24"/>
          <w:szCs w:val="24"/>
        </w:rPr>
        <w:t xml:space="preserve"> </w:t>
      </w:r>
      <w:r w:rsidRPr="003A6D7B">
        <w:rPr>
          <w:rFonts w:ascii="Times New Roman" w:hAnsi="Times New Roman" w:cs="Times New Roman"/>
          <w:sz w:val="24"/>
          <w:szCs w:val="24"/>
        </w:rPr>
        <w:t>duljine 1.630 m, uključivo i raskrižja DC6-LC33175 te LC33175-nerazvrstana cesta</w:t>
      </w:r>
      <w:r w:rsidR="00DF0751" w:rsidRPr="003A6D7B">
        <w:rPr>
          <w:rFonts w:ascii="Times New Roman" w:hAnsi="Times New Roman" w:cs="Times New Roman"/>
          <w:sz w:val="24"/>
          <w:szCs w:val="24"/>
        </w:rPr>
        <w:t>, što će omogućiti siguran prijevoz radioaktivnog otpada te osigurati mogućnost priključenja zahvata Centra na adekvatnu prometnu infrastrukturu te ishođenje potrebnih dozvola u fazi izdavanja lokacijske i građevinske dozvole.</w:t>
      </w:r>
      <w:r w:rsidR="00912DD0" w:rsidRPr="003A6D7B">
        <w:rPr>
          <w:rFonts w:ascii="Times New Roman" w:hAnsi="Times New Roman" w:cs="Times New Roman"/>
          <w:sz w:val="24"/>
          <w:szCs w:val="24"/>
        </w:rPr>
        <w:t xml:space="preserve"> Kako bi se osigurali uvjeti za mogućnost rekonstrukcije, potrebno je urediti imovinsko-pravne odnose uz </w:t>
      </w:r>
      <w:r w:rsidR="0037604E" w:rsidRPr="003A6D7B">
        <w:rPr>
          <w:rFonts w:ascii="Times New Roman" w:hAnsi="Times New Roman" w:cs="Times New Roman"/>
          <w:sz w:val="24"/>
          <w:szCs w:val="24"/>
        </w:rPr>
        <w:t xml:space="preserve">navedene </w:t>
      </w:r>
      <w:r w:rsidR="00912DD0" w:rsidRPr="003A6D7B">
        <w:rPr>
          <w:rFonts w:ascii="Times New Roman" w:hAnsi="Times New Roman" w:cs="Times New Roman"/>
          <w:sz w:val="24"/>
          <w:szCs w:val="24"/>
        </w:rPr>
        <w:t>prometnice</w:t>
      </w:r>
      <w:r w:rsidR="0037604E" w:rsidRPr="003A6D7B">
        <w:rPr>
          <w:rFonts w:ascii="Times New Roman" w:hAnsi="Times New Roman" w:cs="Times New Roman"/>
          <w:sz w:val="24"/>
          <w:szCs w:val="24"/>
        </w:rPr>
        <w:t xml:space="preserve"> što je i predmet ove grupe aktivnosti</w:t>
      </w:r>
      <w:r w:rsidR="00153802" w:rsidRPr="003A6D7B">
        <w:rPr>
          <w:rFonts w:ascii="Times New Roman" w:hAnsi="Times New Roman" w:cs="Times New Roman"/>
          <w:sz w:val="24"/>
          <w:szCs w:val="24"/>
        </w:rPr>
        <w:t xml:space="preserve"> u 2023. godini</w:t>
      </w:r>
      <w:r w:rsidR="0037604E" w:rsidRPr="003A6D7B">
        <w:rPr>
          <w:rFonts w:ascii="Times New Roman" w:hAnsi="Times New Roman" w:cs="Times New Roman"/>
          <w:sz w:val="24"/>
          <w:szCs w:val="24"/>
        </w:rPr>
        <w:t>.</w:t>
      </w:r>
    </w:p>
    <w:p w14:paraId="12BB68ED" w14:textId="4188943C" w:rsidR="003A23D6" w:rsidRPr="003A6D7B" w:rsidRDefault="003A23D6" w:rsidP="00BC46B2">
      <w:pPr>
        <w:pStyle w:val="Heading3"/>
        <w:rPr>
          <w:rFonts w:ascii="Times New Roman" w:hAnsi="Times New Roman" w:cs="Times New Roman"/>
          <w:sz w:val="28"/>
          <w:szCs w:val="28"/>
        </w:rPr>
      </w:pPr>
      <w:bookmarkStart w:id="39" w:name="_Toc58937041"/>
      <w:bookmarkStart w:id="40" w:name="_Toc59178430"/>
      <w:bookmarkStart w:id="41" w:name="_Toc62050180"/>
      <w:bookmarkStart w:id="42" w:name="_Toc130809351"/>
      <w:r w:rsidRPr="003A6D7B">
        <w:rPr>
          <w:rFonts w:ascii="Times New Roman" w:hAnsi="Times New Roman" w:cs="Times New Roman"/>
          <w:sz w:val="28"/>
          <w:szCs w:val="28"/>
        </w:rPr>
        <w:t>Istraživanja i mjerenja na lokaciji</w:t>
      </w:r>
      <w:bookmarkEnd w:id="39"/>
      <w:bookmarkEnd w:id="40"/>
      <w:bookmarkEnd w:id="41"/>
      <w:bookmarkEnd w:id="42"/>
    </w:p>
    <w:p w14:paraId="5FDF2E72" w14:textId="5C1E19D3" w:rsidR="00CD0380" w:rsidRPr="003A6D7B" w:rsidRDefault="003A23D6"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Za potrebe uspostave Centra za zbrinjavanje radioaktivnog otpada, </w:t>
      </w:r>
      <w:r w:rsidR="00FF2BD4" w:rsidRPr="003A6D7B">
        <w:rPr>
          <w:rFonts w:ascii="Times New Roman" w:hAnsi="Times New Roman" w:cs="Times New Roman"/>
          <w:sz w:val="24"/>
          <w:szCs w:val="24"/>
        </w:rPr>
        <w:t>kao podlog</w:t>
      </w:r>
      <w:r w:rsidR="006E1182" w:rsidRPr="003A6D7B">
        <w:rPr>
          <w:rFonts w:ascii="Times New Roman" w:hAnsi="Times New Roman" w:cs="Times New Roman"/>
          <w:sz w:val="24"/>
          <w:szCs w:val="24"/>
        </w:rPr>
        <w:t>e</w:t>
      </w:r>
      <w:r w:rsidR="00FF2BD4" w:rsidRPr="003A6D7B">
        <w:rPr>
          <w:rFonts w:ascii="Times New Roman" w:hAnsi="Times New Roman" w:cs="Times New Roman"/>
          <w:sz w:val="24"/>
          <w:szCs w:val="24"/>
        </w:rPr>
        <w:t xml:space="preserve"> za izradu studije utjecaja na okoliš, projektne dokumentacije i sigurnosnih analiza, u 2020. godini ugovoren</w:t>
      </w:r>
      <w:r w:rsidR="006E1182" w:rsidRPr="003A6D7B">
        <w:rPr>
          <w:rFonts w:ascii="Times New Roman" w:hAnsi="Times New Roman" w:cs="Times New Roman"/>
          <w:sz w:val="24"/>
          <w:szCs w:val="24"/>
        </w:rPr>
        <w:t>a</w:t>
      </w:r>
      <w:r w:rsidR="00FF2BD4" w:rsidRPr="003A6D7B">
        <w:rPr>
          <w:rFonts w:ascii="Times New Roman" w:hAnsi="Times New Roman" w:cs="Times New Roman"/>
          <w:sz w:val="24"/>
          <w:szCs w:val="24"/>
        </w:rPr>
        <w:t xml:space="preserve"> </w:t>
      </w:r>
      <w:r w:rsidR="006E1182" w:rsidRPr="003A6D7B">
        <w:rPr>
          <w:rFonts w:ascii="Times New Roman" w:hAnsi="Times New Roman" w:cs="Times New Roman"/>
          <w:sz w:val="24"/>
          <w:szCs w:val="24"/>
        </w:rPr>
        <w:t>je</w:t>
      </w:r>
      <w:r w:rsidR="00FF2BD4" w:rsidRPr="003A6D7B">
        <w:rPr>
          <w:rFonts w:ascii="Times New Roman" w:hAnsi="Times New Roman" w:cs="Times New Roman"/>
          <w:sz w:val="24"/>
          <w:szCs w:val="24"/>
        </w:rPr>
        <w:t xml:space="preserve"> uslug</w:t>
      </w:r>
      <w:r w:rsidR="006E1182" w:rsidRPr="003A6D7B">
        <w:rPr>
          <w:rFonts w:ascii="Times New Roman" w:hAnsi="Times New Roman" w:cs="Times New Roman"/>
          <w:sz w:val="24"/>
          <w:szCs w:val="24"/>
        </w:rPr>
        <w:t>a</w:t>
      </w:r>
      <w:r w:rsidR="00FF2BD4" w:rsidRPr="003A6D7B">
        <w:rPr>
          <w:rFonts w:ascii="Times New Roman" w:hAnsi="Times New Roman" w:cs="Times New Roman"/>
          <w:sz w:val="24"/>
          <w:szCs w:val="24"/>
        </w:rPr>
        <w:t xml:space="preserve"> provedbe </w:t>
      </w:r>
      <w:r w:rsidRPr="003A6D7B">
        <w:rPr>
          <w:rFonts w:ascii="Times New Roman" w:hAnsi="Times New Roman" w:cs="Times New Roman"/>
          <w:sz w:val="24"/>
          <w:szCs w:val="24"/>
        </w:rPr>
        <w:t>istražni</w:t>
      </w:r>
      <w:r w:rsidR="00FF2BD4" w:rsidRPr="003A6D7B">
        <w:rPr>
          <w:rFonts w:ascii="Times New Roman" w:hAnsi="Times New Roman" w:cs="Times New Roman"/>
          <w:sz w:val="24"/>
          <w:szCs w:val="24"/>
        </w:rPr>
        <w:t>h</w:t>
      </w:r>
      <w:r w:rsidRPr="003A6D7B">
        <w:rPr>
          <w:rFonts w:ascii="Times New Roman" w:hAnsi="Times New Roman" w:cs="Times New Roman"/>
          <w:sz w:val="24"/>
          <w:szCs w:val="24"/>
        </w:rPr>
        <w:t xml:space="preserve"> </w:t>
      </w:r>
      <w:r w:rsidR="00FF2BD4" w:rsidRPr="003A6D7B">
        <w:rPr>
          <w:rFonts w:ascii="Times New Roman" w:hAnsi="Times New Roman" w:cs="Times New Roman"/>
          <w:sz w:val="24"/>
          <w:szCs w:val="24"/>
        </w:rPr>
        <w:t xml:space="preserve">radova </w:t>
      </w:r>
      <w:r w:rsidRPr="003A6D7B">
        <w:rPr>
          <w:rFonts w:ascii="Times New Roman" w:hAnsi="Times New Roman" w:cs="Times New Roman"/>
          <w:sz w:val="24"/>
          <w:szCs w:val="24"/>
        </w:rPr>
        <w:t xml:space="preserve">na lokaciji Centra za zbrinjavanje radioaktivnog otpada </w:t>
      </w:r>
      <w:r w:rsidR="00FF2BD4" w:rsidRPr="003A6D7B">
        <w:rPr>
          <w:rFonts w:ascii="Times New Roman" w:hAnsi="Times New Roman" w:cs="Times New Roman"/>
          <w:sz w:val="24"/>
          <w:szCs w:val="24"/>
        </w:rPr>
        <w:t>i usluga</w:t>
      </w:r>
      <w:r w:rsidRPr="003A6D7B">
        <w:rPr>
          <w:rFonts w:ascii="Times New Roman" w:hAnsi="Times New Roman" w:cs="Times New Roman"/>
          <w:sz w:val="24"/>
          <w:szCs w:val="24"/>
        </w:rPr>
        <w:t xml:space="preserve"> </w:t>
      </w:r>
      <w:r w:rsidR="00FF2BD4" w:rsidRPr="003A6D7B">
        <w:rPr>
          <w:rFonts w:ascii="Times New Roman" w:hAnsi="Times New Roman" w:cs="Times New Roman"/>
          <w:sz w:val="24"/>
          <w:szCs w:val="24"/>
        </w:rPr>
        <w:t xml:space="preserve">mjerenja </w:t>
      </w:r>
      <w:r w:rsidRPr="003A6D7B">
        <w:rPr>
          <w:rFonts w:ascii="Times New Roman" w:hAnsi="Times New Roman" w:cs="Times New Roman"/>
          <w:sz w:val="24"/>
          <w:szCs w:val="24"/>
        </w:rPr>
        <w:t xml:space="preserve">radioaktivnosti za definiranje nultog (postojećeg) stanja na lokaciji </w:t>
      </w:r>
      <w:r w:rsidRPr="003A6D7B">
        <w:rPr>
          <w:rFonts w:ascii="Times New Roman" w:hAnsi="Times New Roman" w:cs="Times New Roman"/>
          <w:sz w:val="24"/>
          <w:szCs w:val="24"/>
        </w:rPr>
        <w:lastRenderedPageBreak/>
        <w:t>Centra za zbrinjavanje RAO-a i na području općine Dvor s procjenom doze za pojedinca</w:t>
      </w:r>
      <w:r w:rsidR="00FF2BD4" w:rsidRPr="003A6D7B">
        <w:rPr>
          <w:rFonts w:ascii="Times New Roman" w:hAnsi="Times New Roman" w:cs="Times New Roman"/>
          <w:sz w:val="24"/>
          <w:szCs w:val="24"/>
        </w:rPr>
        <w:t xml:space="preserve">. </w:t>
      </w:r>
      <w:r w:rsidR="004D3913" w:rsidRPr="003A6D7B">
        <w:rPr>
          <w:rFonts w:ascii="Times New Roman" w:hAnsi="Times New Roman" w:cs="Times New Roman"/>
          <w:sz w:val="24"/>
          <w:szCs w:val="24"/>
        </w:rPr>
        <w:t>Sve a</w:t>
      </w:r>
      <w:r w:rsidR="00FF2BD4" w:rsidRPr="003A6D7B">
        <w:rPr>
          <w:rFonts w:ascii="Times New Roman" w:hAnsi="Times New Roman" w:cs="Times New Roman"/>
          <w:sz w:val="24"/>
          <w:szCs w:val="24"/>
        </w:rPr>
        <w:t xml:space="preserve">ktivnosti </w:t>
      </w:r>
      <w:r w:rsidR="00AB5C20" w:rsidRPr="003A6D7B">
        <w:rPr>
          <w:rFonts w:ascii="Times New Roman" w:hAnsi="Times New Roman" w:cs="Times New Roman"/>
          <w:sz w:val="24"/>
          <w:szCs w:val="24"/>
        </w:rPr>
        <w:t xml:space="preserve">za definiranje nultog (postojećeg) stanja </w:t>
      </w:r>
      <w:r w:rsidR="004D3913" w:rsidRPr="003A6D7B">
        <w:rPr>
          <w:rFonts w:ascii="Times New Roman" w:hAnsi="Times New Roman" w:cs="Times New Roman"/>
          <w:sz w:val="24"/>
          <w:szCs w:val="24"/>
        </w:rPr>
        <w:t xml:space="preserve">radioaktivnosti su završene </w:t>
      </w:r>
      <w:r w:rsidR="00D71B2E" w:rsidRPr="003A6D7B">
        <w:rPr>
          <w:rFonts w:ascii="Times New Roman" w:hAnsi="Times New Roman" w:cs="Times New Roman"/>
          <w:sz w:val="24"/>
          <w:szCs w:val="24"/>
        </w:rPr>
        <w:t xml:space="preserve">do polovice </w:t>
      </w:r>
      <w:r w:rsidR="00FF2BD4" w:rsidRPr="003A6D7B">
        <w:rPr>
          <w:rFonts w:ascii="Times New Roman" w:hAnsi="Times New Roman" w:cs="Times New Roman"/>
          <w:sz w:val="24"/>
          <w:szCs w:val="24"/>
        </w:rPr>
        <w:t>2022. godin</w:t>
      </w:r>
      <w:r w:rsidR="00D71B2E" w:rsidRPr="003A6D7B">
        <w:rPr>
          <w:rFonts w:ascii="Times New Roman" w:hAnsi="Times New Roman" w:cs="Times New Roman"/>
          <w:sz w:val="24"/>
          <w:szCs w:val="24"/>
        </w:rPr>
        <w:t>e</w:t>
      </w:r>
      <w:r w:rsidR="00FF2BD4" w:rsidRPr="003A6D7B">
        <w:rPr>
          <w:rFonts w:ascii="Times New Roman" w:hAnsi="Times New Roman" w:cs="Times New Roman"/>
          <w:sz w:val="24"/>
          <w:szCs w:val="24"/>
        </w:rPr>
        <w:t xml:space="preserve">, dok će se aktivnosti istražnih radova koji se odnose na prikupljanje podataka za potrebe projektiranja upravne zgrade Centra nastaviti </w:t>
      </w:r>
      <w:r w:rsidR="006E1182" w:rsidRPr="003A6D7B">
        <w:rPr>
          <w:rFonts w:ascii="Times New Roman" w:hAnsi="Times New Roman" w:cs="Times New Roman"/>
          <w:sz w:val="24"/>
          <w:szCs w:val="24"/>
        </w:rPr>
        <w:t xml:space="preserve">i </w:t>
      </w:r>
      <w:r w:rsidR="00FF2BD4" w:rsidRPr="003A6D7B">
        <w:rPr>
          <w:rFonts w:ascii="Times New Roman" w:hAnsi="Times New Roman" w:cs="Times New Roman"/>
          <w:sz w:val="24"/>
          <w:szCs w:val="24"/>
        </w:rPr>
        <w:t>u 2023. godini</w:t>
      </w:r>
      <w:r w:rsidR="006E1182" w:rsidRPr="003A6D7B">
        <w:rPr>
          <w:rFonts w:ascii="Times New Roman" w:hAnsi="Times New Roman" w:cs="Times New Roman"/>
          <w:sz w:val="24"/>
          <w:szCs w:val="24"/>
        </w:rPr>
        <w:t xml:space="preserve"> zbog dodatnih zahtjeva projektanata za određivanje </w:t>
      </w:r>
      <w:r w:rsidR="00A4575E" w:rsidRPr="003A6D7B">
        <w:rPr>
          <w:rFonts w:ascii="Times New Roman" w:hAnsi="Times New Roman" w:cs="Times New Roman"/>
          <w:sz w:val="24"/>
          <w:szCs w:val="24"/>
        </w:rPr>
        <w:t>karakteristika terena</w:t>
      </w:r>
      <w:r w:rsidR="006E1182" w:rsidRPr="003A6D7B">
        <w:rPr>
          <w:rFonts w:ascii="Times New Roman" w:hAnsi="Times New Roman" w:cs="Times New Roman"/>
          <w:sz w:val="24"/>
          <w:szCs w:val="24"/>
        </w:rPr>
        <w:t xml:space="preserve"> na dijelu lokacije gdje se planira izgraditi upravna građevina Centra</w:t>
      </w:r>
      <w:r w:rsidR="00FF2BD4" w:rsidRPr="003A6D7B">
        <w:rPr>
          <w:rFonts w:ascii="Times New Roman" w:hAnsi="Times New Roman" w:cs="Times New Roman"/>
          <w:sz w:val="24"/>
          <w:szCs w:val="24"/>
        </w:rPr>
        <w:t xml:space="preserve">. </w:t>
      </w:r>
      <w:r w:rsidR="00151424" w:rsidRPr="003A6D7B">
        <w:rPr>
          <w:rFonts w:ascii="Times New Roman" w:hAnsi="Times New Roman" w:cs="Times New Roman"/>
          <w:sz w:val="24"/>
          <w:szCs w:val="24"/>
        </w:rPr>
        <w:t>U</w:t>
      </w:r>
      <w:r w:rsidR="00D57753" w:rsidRPr="003A6D7B">
        <w:rPr>
          <w:rFonts w:ascii="Times New Roman" w:hAnsi="Times New Roman" w:cs="Times New Roman"/>
          <w:sz w:val="24"/>
          <w:szCs w:val="24"/>
        </w:rPr>
        <w:t xml:space="preserve"> 2023. godin</w:t>
      </w:r>
      <w:r w:rsidR="00151424" w:rsidRPr="003A6D7B">
        <w:rPr>
          <w:rFonts w:ascii="Times New Roman" w:hAnsi="Times New Roman" w:cs="Times New Roman"/>
          <w:sz w:val="24"/>
          <w:szCs w:val="24"/>
        </w:rPr>
        <w:t>i</w:t>
      </w:r>
      <w:r w:rsidR="00D57753" w:rsidRPr="003A6D7B">
        <w:rPr>
          <w:rFonts w:ascii="Times New Roman" w:hAnsi="Times New Roman" w:cs="Times New Roman"/>
          <w:sz w:val="24"/>
          <w:szCs w:val="24"/>
        </w:rPr>
        <w:t xml:space="preserve"> </w:t>
      </w:r>
      <w:r w:rsidR="00151424" w:rsidRPr="003A6D7B">
        <w:rPr>
          <w:rFonts w:ascii="Times New Roman" w:hAnsi="Times New Roman" w:cs="Times New Roman"/>
          <w:sz w:val="24"/>
          <w:szCs w:val="24"/>
        </w:rPr>
        <w:t>nastavit će se s</w:t>
      </w:r>
      <w:r w:rsidR="00A4575E" w:rsidRPr="003A6D7B">
        <w:rPr>
          <w:rFonts w:ascii="Times New Roman" w:hAnsi="Times New Roman" w:cs="Times New Roman"/>
          <w:sz w:val="24"/>
          <w:szCs w:val="24"/>
        </w:rPr>
        <w:t xml:space="preserve"> </w:t>
      </w:r>
      <w:r w:rsidR="00D57753" w:rsidRPr="003A6D7B">
        <w:rPr>
          <w:rFonts w:ascii="Times New Roman" w:hAnsi="Times New Roman" w:cs="Times New Roman"/>
          <w:sz w:val="24"/>
          <w:szCs w:val="24"/>
        </w:rPr>
        <w:t>uzorkovanje</w:t>
      </w:r>
      <w:r w:rsidR="00A4575E" w:rsidRPr="003A6D7B">
        <w:rPr>
          <w:rFonts w:ascii="Times New Roman" w:hAnsi="Times New Roman" w:cs="Times New Roman"/>
          <w:sz w:val="24"/>
          <w:szCs w:val="24"/>
        </w:rPr>
        <w:t>m</w:t>
      </w:r>
      <w:r w:rsidR="00D57753" w:rsidRPr="003A6D7B">
        <w:rPr>
          <w:rFonts w:ascii="Times New Roman" w:hAnsi="Times New Roman" w:cs="Times New Roman"/>
          <w:sz w:val="24"/>
          <w:szCs w:val="24"/>
        </w:rPr>
        <w:t xml:space="preserve"> zraka </w:t>
      </w:r>
      <w:r w:rsidR="00A4575E" w:rsidRPr="003A6D7B">
        <w:rPr>
          <w:rFonts w:ascii="Times New Roman" w:hAnsi="Times New Roman" w:cs="Times New Roman"/>
          <w:sz w:val="24"/>
          <w:szCs w:val="24"/>
        </w:rPr>
        <w:t>te</w:t>
      </w:r>
      <w:r w:rsidR="00D57753" w:rsidRPr="003A6D7B">
        <w:rPr>
          <w:rFonts w:ascii="Times New Roman" w:hAnsi="Times New Roman" w:cs="Times New Roman"/>
          <w:sz w:val="24"/>
          <w:szCs w:val="24"/>
        </w:rPr>
        <w:t xml:space="preserve"> mjerenje</w:t>
      </w:r>
      <w:r w:rsidR="00A4575E" w:rsidRPr="003A6D7B">
        <w:rPr>
          <w:rFonts w:ascii="Times New Roman" w:hAnsi="Times New Roman" w:cs="Times New Roman"/>
          <w:sz w:val="24"/>
          <w:szCs w:val="24"/>
        </w:rPr>
        <w:t>m</w:t>
      </w:r>
      <w:r w:rsidR="00D57753" w:rsidRPr="003A6D7B">
        <w:rPr>
          <w:rFonts w:ascii="Times New Roman" w:hAnsi="Times New Roman" w:cs="Times New Roman"/>
          <w:sz w:val="24"/>
          <w:szCs w:val="24"/>
        </w:rPr>
        <w:t xml:space="preserve"> ambijentalne doze na lokaciji Centra</w:t>
      </w:r>
      <w:r w:rsidR="00A4575E" w:rsidRPr="003A6D7B">
        <w:rPr>
          <w:rFonts w:ascii="Times New Roman" w:hAnsi="Times New Roman" w:cs="Times New Roman"/>
          <w:sz w:val="24"/>
          <w:szCs w:val="24"/>
        </w:rPr>
        <w:t xml:space="preserve"> kao i sa seizmološkim mjerenjima za čiju potrebu su osigurana sredstva za održavanje mjernih uređaja</w:t>
      </w:r>
      <w:r w:rsidR="00D57753" w:rsidRPr="003A6D7B">
        <w:rPr>
          <w:rFonts w:ascii="Times New Roman" w:hAnsi="Times New Roman" w:cs="Times New Roman"/>
          <w:sz w:val="24"/>
          <w:szCs w:val="24"/>
        </w:rPr>
        <w:t>.</w:t>
      </w:r>
      <w:r w:rsidR="00CD0380" w:rsidRPr="003A6D7B">
        <w:rPr>
          <w:rFonts w:ascii="Times New Roman" w:hAnsi="Times New Roman" w:cs="Times New Roman"/>
          <w:sz w:val="24"/>
          <w:szCs w:val="24"/>
        </w:rPr>
        <w:t xml:space="preserve"> </w:t>
      </w:r>
      <w:r w:rsidR="00D71B2E" w:rsidRPr="003A6D7B">
        <w:rPr>
          <w:rFonts w:ascii="Times New Roman" w:hAnsi="Times New Roman" w:cs="Times New Roman"/>
          <w:sz w:val="24"/>
          <w:szCs w:val="24"/>
        </w:rPr>
        <w:t>S</w:t>
      </w:r>
      <w:r w:rsidR="004D3913" w:rsidRPr="003A6D7B">
        <w:rPr>
          <w:rFonts w:ascii="Times New Roman" w:hAnsi="Times New Roman" w:cs="Times New Roman"/>
          <w:sz w:val="24"/>
          <w:szCs w:val="24"/>
        </w:rPr>
        <w:t>tudij</w:t>
      </w:r>
      <w:r w:rsidR="00D71B2E" w:rsidRPr="003A6D7B">
        <w:rPr>
          <w:rFonts w:ascii="Times New Roman" w:hAnsi="Times New Roman" w:cs="Times New Roman"/>
          <w:sz w:val="24"/>
          <w:szCs w:val="24"/>
        </w:rPr>
        <w:t>a</w:t>
      </w:r>
      <w:r w:rsidR="004D3913" w:rsidRPr="003A6D7B">
        <w:rPr>
          <w:rFonts w:ascii="Times New Roman" w:hAnsi="Times New Roman" w:cs="Times New Roman"/>
          <w:sz w:val="24"/>
          <w:szCs w:val="24"/>
        </w:rPr>
        <w:t xml:space="preserve"> procijene potresne opasnosti (seizmičkog hazarda) </w:t>
      </w:r>
      <w:r w:rsidR="00ED4D76" w:rsidRPr="003A6D7B">
        <w:rPr>
          <w:rFonts w:ascii="Times New Roman" w:hAnsi="Times New Roman" w:cs="Times New Roman"/>
          <w:sz w:val="24"/>
          <w:szCs w:val="24"/>
        </w:rPr>
        <w:t>dovršena</w:t>
      </w:r>
      <w:r w:rsidR="004D3913" w:rsidRPr="003A6D7B">
        <w:rPr>
          <w:rFonts w:ascii="Times New Roman" w:hAnsi="Times New Roman" w:cs="Times New Roman"/>
          <w:sz w:val="24"/>
          <w:szCs w:val="24"/>
        </w:rPr>
        <w:t xml:space="preserve"> je u prosincu 2022. godine, a podaci će se koristi za projektiranje, procjenu utjecaja na okoliš i sigurnosne analize skladišta NSRAO</w:t>
      </w:r>
      <w:r w:rsidR="004D3913" w:rsidRPr="003A6D7B">
        <w:rPr>
          <w:rFonts w:ascii="Times New Roman" w:hAnsi="Times New Roman" w:cs="Times New Roman"/>
          <w:sz w:val="24"/>
          <w:szCs w:val="24"/>
        </w:rPr>
        <w:noBreakHyphen/>
        <w:t>a.</w:t>
      </w:r>
    </w:p>
    <w:p w14:paraId="1DCC9593" w14:textId="1E7BF5A1" w:rsidR="007B4F2C" w:rsidRPr="003A6D7B" w:rsidRDefault="00A4575E" w:rsidP="00597B9F">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Za potrebe praćenja podataka dobivenih istraživanjima okoliša</w:t>
      </w:r>
      <w:r w:rsidR="00153802" w:rsidRPr="003A6D7B">
        <w:rPr>
          <w:rFonts w:ascii="Times New Roman" w:hAnsi="Times New Roman" w:cs="Times New Roman"/>
          <w:sz w:val="24"/>
          <w:szCs w:val="24"/>
        </w:rPr>
        <w:t>,</w:t>
      </w:r>
      <w:r w:rsidRPr="003A6D7B">
        <w:rPr>
          <w:rFonts w:ascii="Times New Roman" w:hAnsi="Times New Roman" w:cs="Times New Roman"/>
          <w:sz w:val="24"/>
          <w:szCs w:val="24"/>
        </w:rPr>
        <w:t xml:space="preserve"> te budućih istraživanja i mjerenja u sklopu radiološkog monitoringa</w:t>
      </w:r>
      <w:r w:rsidR="000B3A24" w:rsidRPr="003A6D7B">
        <w:rPr>
          <w:rFonts w:ascii="Times New Roman" w:hAnsi="Times New Roman" w:cs="Times New Roman"/>
          <w:sz w:val="24"/>
          <w:szCs w:val="24"/>
        </w:rPr>
        <w:t xml:space="preserve"> u 2023. godini</w:t>
      </w:r>
      <w:r w:rsidRPr="003A6D7B">
        <w:rPr>
          <w:rFonts w:ascii="Times New Roman" w:hAnsi="Times New Roman" w:cs="Times New Roman"/>
          <w:sz w:val="24"/>
          <w:szCs w:val="24"/>
        </w:rPr>
        <w:t xml:space="preserve"> planira se izrada baze podataka </w:t>
      </w:r>
      <w:r w:rsidR="000B3A24" w:rsidRPr="003A6D7B">
        <w:rPr>
          <w:rFonts w:ascii="Times New Roman" w:hAnsi="Times New Roman" w:cs="Times New Roman"/>
          <w:sz w:val="24"/>
          <w:szCs w:val="24"/>
        </w:rPr>
        <w:t>istraživanja i mjerenja.</w:t>
      </w:r>
      <w:r w:rsidRPr="003A6D7B">
        <w:rPr>
          <w:rFonts w:ascii="Times New Roman" w:hAnsi="Times New Roman" w:cs="Times New Roman"/>
          <w:sz w:val="24"/>
          <w:szCs w:val="24"/>
        </w:rPr>
        <w:t xml:space="preserve">  </w:t>
      </w:r>
      <w:r w:rsidR="00BF14EF" w:rsidRPr="003A6D7B">
        <w:rPr>
          <w:rFonts w:ascii="Times New Roman" w:hAnsi="Times New Roman" w:cs="Times New Roman"/>
          <w:sz w:val="24"/>
          <w:szCs w:val="24"/>
        </w:rPr>
        <w:t xml:space="preserve"> </w:t>
      </w:r>
    </w:p>
    <w:p w14:paraId="70AB2902" w14:textId="48D0AAAB" w:rsidR="003A23D6" w:rsidRPr="003A6D7B" w:rsidRDefault="003A23D6" w:rsidP="00ED4D76">
      <w:pPr>
        <w:pStyle w:val="Heading3"/>
        <w:spacing w:after="120" w:line="276" w:lineRule="auto"/>
        <w:rPr>
          <w:rFonts w:ascii="Times New Roman" w:hAnsi="Times New Roman" w:cs="Times New Roman"/>
          <w:sz w:val="28"/>
          <w:szCs w:val="28"/>
        </w:rPr>
      </w:pPr>
      <w:bookmarkStart w:id="43" w:name="_Toc58937042"/>
      <w:bookmarkStart w:id="44" w:name="_Toc59178431"/>
      <w:bookmarkStart w:id="45" w:name="_Toc62050181"/>
      <w:bookmarkStart w:id="46" w:name="_Toc130809352"/>
      <w:r w:rsidRPr="003A6D7B">
        <w:rPr>
          <w:rFonts w:ascii="Times New Roman" w:hAnsi="Times New Roman" w:cs="Times New Roman"/>
          <w:sz w:val="28"/>
          <w:szCs w:val="28"/>
        </w:rPr>
        <w:t xml:space="preserve">Aktivnosti i dokumentacija </w:t>
      </w:r>
      <w:r w:rsidR="004909CE" w:rsidRPr="003A6D7B">
        <w:rPr>
          <w:rFonts w:ascii="Times New Roman" w:hAnsi="Times New Roman" w:cs="Times New Roman"/>
          <w:sz w:val="28"/>
          <w:szCs w:val="28"/>
        </w:rPr>
        <w:t xml:space="preserve"> za projektiranje, analizu sigurnosti i procjenu utjecaja na okoliš</w:t>
      </w:r>
      <w:bookmarkEnd w:id="43"/>
      <w:bookmarkEnd w:id="44"/>
      <w:bookmarkEnd w:id="45"/>
      <w:bookmarkEnd w:id="46"/>
    </w:p>
    <w:p w14:paraId="40E7B7FC" w14:textId="151E8E81" w:rsidR="008040EF" w:rsidRPr="003A6D7B" w:rsidRDefault="006B020A" w:rsidP="00902811">
      <w:pPr>
        <w:spacing w:line="276" w:lineRule="auto"/>
        <w:ind w:left="851"/>
        <w:rPr>
          <w:rFonts w:ascii="Times New Roman" w:hAnsi="Times New Roman" w:cs="Times New Roman"/>
          <w:sz w:val="24"/>
          <w:szCs w:val="24"/>
          <w:lang w:eastAsia="hr-HR"/>
        </w:rPr>
      </w:pPr>
      <w:r w:rsidRPr="003A6D7B">
        <w:rPr>
          <w:rFonts w:ascii="Times New Roman" w:hAnsi="Times New Roman" w:cs="Times New Roman"/>
          <w:sz w:val="24"/>
          <w:szCs w:val="24"/>
          <w:lang w:eastAsia="hr-HR"/>
        </w:rPr>
        <w:t>P</w:t>
      </w:r>
      <w:r w:rsidR="003A23D6" w:rsidRPr="003A6D7B">
        <w:rPr>
          <w:rFonts w:ascii="Times New Roman" w:hAnsi="Times New Roman" w:cs="Times New Roman"/>
          <w:sz w:val="24"/>
          <w:szCs w:val="24"/>
          <w:lang w:eastAsia="hr-HR"/>
        </w:rPr>
        <w:t xml:space="preserve">oslovi projektiranja i s time povezanih aktivnosti koje prethode ishođenju lokacijske i građevinske dozvole (kao što su sigurnosne analize i izvješća s kriterijima prihvatljivosti otpada, ocjena prihvatljivosti za </w:t>
      </w:r>
      <w:r w:rsidR="003A23D6" w:rsidRPr="003A6D7B">
        <w:rPr>
          <w:rFonts w:ascii="Times New Roman" w:hAnsi="Times New Roman" w:cs="Times New Roman"/>
          <w:sz w:val="24"/>
          <w:szCs w:val="24"/>
        </w:rPr>
        <w:t>ekološku</w:t>
      </w:r>
      <w:r w:rsidR="003A23D6" w:rsidRPr="003A6D7B">
        <w:rPr>
          <w:rFonts w:ascii="Times New Roman" w:hAnsi="Times New Roman" w:cs="Times New Roman"/>
          <w:sz w:val="24"/>
          <w:szCs w:val="24"/>
          <w:lang w:eastAsia="hr-HR"/>
        </w:rPr>
        <w:t xml:space="preserve"> mrežu i procjena utjecaja na okoliš)</w:t>
      </w:r>
      <w:r w:rsidRPr="003A6D7B">
        <w:rPr>
          <w:rFonts w:ascii="Times New Roman" w:hAnsi="Times New Roman" w:cs="Times New Roman"/>
          <w:sz w:val="24"/>
          <w:szCs w:val="24"/>
          <w:lang w:eastAsia="hr-HR"/>
        </w:rPr>
        <w:t>,</w:t>
      </w:r>
      <w:r w:rsidR="003A23D6" w:rsidRPr="003A6D7B">
        <w:rPr>
          <w:rFonts w:ascii="Times New Roman" w:hAnsi="Times New Roman" w:cs="Times New Roman"/>
          <w:sz w:val="24"/>
          <w:szCs w:val="24"/>
          <w:lang w:eastAsia="hr-HR"/>
        </w:rPr>
        <w:t xml:space="preserve"> </w:t>
      </w:r>
      <w:r w:rsidR="0015372B" w:rsidRPr="003A6D7B">
        <w:rPr>
          <w:rFonts w:ascii="Times New Roman" w:hAnsi="Times New Roman" w:cs="Times New Roman"/>
          <w:sz w:val="24"/>
          <w:szCs w:val="24"/>
          <w:lang w:eastAsia="hr-HR"/>
        </w:rPr>
        <w:t xml:space="preserve">3 </w:t>
      </w:r>
      <w:r w:rsidR="0029206B" w:rsidRPr="003A6D7B">
        <w:rPr>
          <w:rFonts w:ascii="Times New Roman" w:hAnsi="Times New Roman" w:cs="Times New Roman"/>
          <w:sz w:val="24"/>
          <w:szCs w:val="24"/>
          <w:lang w:eastAsia="hr-HR"/>
        </w:rPr>
        <w:t>ugovorene su u svibnju 2022. godine</w:t>
      </w:r>
      <w:r w:rsidR="0015372B" w:rsidRPr="003A6D7B">
        <w:rPr>
          <w:rFonts w:ascii="Times New Roman" w:hAnsi="Times New Roman" w:cs="Times New Roman"/>
          <w:sz w:val="24"/>
          <w:szCs w:val="24"/>
          <w:lang w:eastAsia="hr-HR"/>
        </w:rPr>
        <w:t xml:space="preserve"> te se nastavljaju u 2023. godini</w:t>
      </w:r>
      <w:r w:rsidRPr="003A6D7B">
        <w:rPr>
          <w:rFonts w:ascii="Times New Roman" w:hAnsi="Times New Roman" w:cs="Times New Roman"/>
          <w:sz w:val="24"/>
          <w:szCs w:val="24"/>
          <w:lang w:eastAsia="hr-HR"/>
        </w:rPr>
        <w:t xml:space="preserve">. U 2022. godini završeno je Idejno rješenje Centra, te je podnesen zahtjev za prethodnu ocjenu prihvatljivosti zahvata na ekološku mrežu. U 2023. planira se </w:t>
      </w:r>
      <w:r w:rsidR="0015372B" w:rsidRPr="003A6D7B">
        <w:rPr>
          <w:rFonts w:ascii="Times New Roman" w:hAnsi="Times New Roman" w:cs="Times New Roman"/>
          <w:sz w:val="24"/>
          <w:szCs w:val="24"/>
          <w:lang w:eastAsia="hr-HR"/>
        </w:rPr>
        <w:t>završetak izrade studije izvodljivosti, početak rada na idejnom projektu</w:t>
      </w:r>
      <w:r w:rsidR="008040EF" w:rsidRPr="003A6D7B">
        <w:rPr>
          <w:rFonts w:ascii="Times New Roman" w:hAnsi="Times New Roman" w:cs="Times New Roman"/>
          <w:sz w:val="24"/>
          <w:szCs w:val="24"/>
          <w:lang w:eastAsia="hr-HR"/>
        </w:rPr>
        <w:t>, sigurnosnoj studiji i procjeni utjecaja zahvata Centra na okoliš za ishođenje lokacijske dozvole</w:t>
      </w:r>
      <w:r w:rsidR="0015372B" w:rsidRPr="003A6D7B">
        <w:rPr>
          <w:rFonts w:ascii="Times New Roman" w:hAnsi="Times New Roman" w:cs="Times New Roman"/>
          <w:sz w:val="24"/>
          <w:szCs w:val="24"/>
          <w:lang w:eastAsia="hr-HR"/>
        </w:rPr>
        <w:t>.</w:t>
      </w:r>
    </w:p>
    <w:p w14:paraId="715127A9" w14:textId="2141CEF4" w:rsidR="003A23D6" w:rsidRPr="003A6D7B" w:rsidRDefault="009E1F2C" w:rsidP="00902811">
      <w:pPr>
        <w:spacing w:line="276" w:lineRule="auto"/>
        <w:ind w:left="851"/>
        <w:rPr>
          <w:rFonts w:ascii="Times New Roman" w:hAnsi="Times New Roman" w:cs="Times New Roman"/>
          <w:sz w:val="24"/>
          <w:szCs w:val="24"/>
          <w:lang w:eastAsia="hr-HR"/>
        </w:rPr>
      </w:pPr>
      <w:r w:rsidRPr="003A6D7B">
        <w:rPr>
          <w:rFonts w:ascii="Times New Roman" w:hAnsi="Times New Roman" w:cs="Times New Roman"/>
          <w:sz w:val="24"/>
          <w:szCs w:val="24"/>
          <w:lang w:eastAsia="hr-HR"/>
        </w:rPr>
        <w:t>Nastavlja se</w:t>
      </w:r>
      <w:r w:rsidR="00E0571A" w:rsidRPr="003A6D7B">
        <w:rPr>
          <w:rFonts w:ascii="Times New Roman" w:hAnsi="Times New Roman" w:cs="Times New Roman"/>
          <w:sz w:val="24"/>
          <w:szCs w:val="24"/>
          <w:lang w:eastAsia="hr-HR"/>
        </w:rPr>
        <w:t xml:space="preserve"> također i </w:t>
      </w:r>
      <w:r w:rsidRPr="003A6D7B">
        <w:rPr>
          <w:rFonts w:ascii="Times New Roman" w:hAnsi="Times New Roman" w:cs="Times New Roman"/>
          <w:sz w:val="24"/>
          <w:szCs w:val="24"/>
          <w:lang w:eastAsia="hr-HR"/>
        </w:rPr>
        <w:t xml:space="preserve">nadzor nad </w:t>
      </w:r>
      <w:r w:rsidR="00597B9F" w:rsidRPr="003A6D7B">
        <w:rPr>
          <w:rFonts w:ascii="Times New Roman" w:hAnsi="Times New Roman" w:cs="Times New Roman"/>
          <w:sz w:val="24"/>
          <w:szCs w:val="24"/>
          <w:lang w:eastAsia="hr-HR"/>
        </w:rPr>
        <w:t>provedbom</w:t>
      </w:r>
      <w:r w:rsidRPr="003A6D7B">
        <w:rPr>
          <w:rFonts w:ascii="Times New Roman" w:hAnsi="Times New Roman" w:cs="Times New Roman"/>
          <w:sz w:val="24"/>
          <w:szCs w:val="24"/>
          <w:lang w:eastAsia="hr-HR"/>
        </w:rPr>
        <w:t xml:space="preserve"> </w:t>
      </w:r>
      <w:r w:rsidR="00E0571A" w:rsidRPr="003A6D7B">
        <w:rPr>
          <w:rFonts w:ascii="Times New Roman" w:hAnsi="Times New Roman" w:cs="Times New Roman"/>
          <w:sz w:val="24"/>
          <w:szCs w:val="24"/>
          <w:lang w:eastAsia="hr-HR"/>
        </w:rPr>
        <w:t>navedenih aktivnosti</w:t>
      </w:r>
      <w:r w:rsidR="00ED4D76" w:rsidRPr="003A6D7B">
        <w:rPr>
          <w:rFonts w:ascii="Times New Roman" w:hAnsi="Times New Roman" w:cs="Times New Roman"/>
          <w:sz w:val="24"/>
          <w:szCs w:val="24"/>
          <w:lang w:eastAsia="hr-HR"/>
        </w:rPr>
        <w:t>.</w:t>
      </w:r>
    </w:p>
    <w:p w14:paraId="12E40704" w14:textId="54F5273B" w:rsidR="007B4F2C" w:rsidRPr="003A6D7B" w:rsidRDefault="004B2E7F" w:rsidP="00597B9F">
      <w:pPr>
        <w:spacing w:line="276" w:lineRule="auto"/>
        <w:ind w:left="851"/>
        <w:rPr>
          <w:rFonts w:ascii="Times New Roman" w:hAnsi="Times New Roman" w:cs="Times New Roman"/>
          <w:sz w:val="24"/>
          <w:szCs w:val="24"/>
          <w:lang w:eastAsia="hr-HR"/>
        </w:rPr>
      </w:pPr>
      <w:r w:rsidRPr="003A6D7B">
        <w:rPr>
          <w:rFonts w:ascii="Times New Roman" w:hAnsi="Times New Roman" w:cs="Times New Roman"/>
          <w:sz w:val="24"/>
          <w:szCs w:val="24"/>
          <w:lang w:eastAsia="hr-HR"/>
        </w:rPr>
        <w:t xml:space="preserve">Sukladno </w:t>
      </w:r>
      <w:r w:rsidR="00E0571A" w:rsidRPr="003A6D7B">
        <w:rPr>
          <w:rFonts w:ascii="Times New Roman" w:hAnsi="Times New Roman" w:cs="Times New Roman"/>
          <w:sz w:val="24"/>
          <w:szCs w:val="24"/>
          <w:lang w:eastAsia="hr-HR"/>
        </w:rPr>
        <w:t xml:space="preserve">analizi pristupnih puteva i cesta kojima će se NSRAO prevesti do Centra za zbrinjavanje RAO, u 2023. godini </w:t>
      </w:r>
      <w:r w:rsidRPr="003A6D7B">
        <w:rPr>
          <w:rFonts w:ascii="Times New Roman" w:hAnsi="Times New Roman" w:cs="Times New Roman"/>
          <w:sz w:val="24"/>
          <w:szCs w:val="24"/>
          <w:lang w:eastAsia="hr-HR"/>
        </w:rPr>
        <w:t xml:space="preserve">planira </w:t>
      </w:r>
      <w:r w:rsidR="00E0571A" w:rsidRPr="003A6D7B">
        <w:rPr>
          <w:rFonts w:ascii="Times New Roman" w:hAnsi="Times New Roman" w:cs="Times New Roman"/>
          <w:sz w:val="24"/>
          <w:szCs w:val="24"/>
          <w:lang w:eastAsia="hr-HR"/>
        </w:rPr>
        <w:t xml:space="preserve">se </w:t>
      </w:r>
      <w:r w:rsidRPr="003A6D7B">
        <w:rPr>
          <w:rFonts w:ascii="Times New Roman" w:hAnsi="Times New Roman" w:cs="Times New Roman"/>
          <w:sz w:val="24"/>
          <w:szCs w:val="24"/>
          <w:lang w:eastAsia="hr-HR"/>
        </w:rPr>
        <w:t xml:space="preserve">izrada projektne dokumentacije za rekonstrukciju pristupne ceste </w:t>
      </w:r>
      <w:r w:rsidR="00597B9F" w:rsidRPr="003A6D7B">
        <w:rPr>
          <w:rFonts w:ascii="Times New Roman" w:hAnsi="Times New Roman" w:cs="Times New Roman"/>
          <w:sz w:val="24"/>
          <w:szCs w:val="24"/>
          <w:lang w:eastAsia="hr-HR"/>
        </w:rPr>
        <w:t>i</w:t>
      </w:r>
      <w:r w:rsidRPr="003A6D7B">
        <w:rPr>
          <w:rFonts w:ascii="Times New Roman" w:hAnsi="Times New Roman" w:cs="Times New Roman"/>
          <w:sz w:val="24"/>
          <w:szCs w:val="24"/>
          <w:lang w:eastAsia="hr-HR"/>
        </w:rPr>
        <w:t xml:space="preserve"> dionic</w:t>
      </w:r>
      <w:r w:rsidR="00597B9F" w:rsidRPr="003A6D7B">
        <w:rPr>
          <w:rFonts w:ascii="Times New Roman" w:hAnsi="Times New Roman" w:cs="Times New Roman"/>
          <w:sz w:val="24"/>
          <w:szCs w:val="24"/>
          <w:lang w:eastAsia="hr-HR"/>
        </w:rPr>
        <w:t>e</w:t>
      </w:r>
      <w:r w:rsidRPr="003A6D7B">
        <w:rPr>
          <w:rFonts w:ascii="Times New Roman" w:hAnsi="Times New Roman" w:cs="Times New Roman"/>
          <w:sz w:val="24"/>
          <w:szCs w:val="24"/>
          <w:lang w:eastAsia="hr-HR"/>
        </w:rPr>
        <w:t xml:space="preserve"> lokalne ceste</w:t>
      </w:r>
      <w:r w:rsidR="00E0571A" w:rsidRPr="003A6D7B">
        <w:rPr>
          <w:rFonts w:ascii="Times New Roman" w:hAnsi="Times New Roman" w:cs="Times New Roman"/>
          <w:sz w:val="24"/>
          <w:szCs w:val="24"/>
          <w:lang w:eastAsia="hr-HR"/>
        </w:rPr>
        <w:t>.</w:t>
      </w:r>
      <w:bookmarkStart w:id="47" w:name="_Toc58937045"/>
      <w:bookmarkStart w:id="48" w:name="_Toc59178434"/>
      <w:bookmarkStart w:id="49" w:name="_Toc62050184"/>
    </w:p>
    <w:p w14:paraId="163F8C5D" w14:textId="7F2440E8" w:rsidR="003A23D6" w:rsidRPr="003A6D7B" w:rsidRDefault="003A23D6" w:rsidP="00ED4D76">
      <w:pPr>
        <w:pStyle w:val="Heading3"/>
        <w:spacing w:after="120" w:line="276" w:lineRule="auto"/>
        <w:rPr>
          <w:rFonts w:ascii="Times New Roman" w:hAnsi="Times New Roman" w:cs="Times New Roman"/>
          <w:sz w:val="28"/>
          <w:szCs w:val="28"/>
        </w:rPr>
      </w:pPr>
      <w:bookmarkStart w:id="50" w:name="_Toc130809353"/>
      <w:r w:rsidRPr="003A6D7B">
        <w:rPr>
          <w:rFonts w:ascii="Times New Roman" w:hAnsi="Times New Roman" w:cs="Times New Roman"/>
          <w:sz w:val="28"/>
          <w:szCs w:val="28"/>
        </w:rPr>
        <w:t xml:space="preserve">Opći poslovi </w:t>
      </w:r>
      <w:bookmarkEnd w:id="47"/>
      <w:bookmarkEnd w:id="48"/>
      <w:bookmarkEnd w:id="49"/>
      <w:r w:rsidR="004B2E7F" w:rsidRPr="003A6D7B">
        <w:rPr>
          <w:rFonts w:ascii="Times New Roman" w:hAnsi="Times New Roman" w:cs="Times New Roman"/>
          <w:sz w:val="28"/>
          <w:szCs w:val="28"/>
        </w:rPr>
        <w:t>uspostave Centra</w:t>
      </w:r>
      <w:bookmarkEnd w:id="50"/>
    </w:p>
    <w:p w14:paraId="38C135F4" w14:textId="70AC1A30" w:rsidR="007973FE" w:rsidRPr="003A6D7B" w:rsidRDefault="007973FE" w:rsidP="00902811">
      <w:pPr>
        <w:spacing w:line="276" w:lineRule="auto"/>
        <w:ind w:left="851"/>
        <w:rPr>
          <w:rFonts w:ascii="Times New Roman" w:hAnsi="Times New Roman" w:cs="Times New Roman"/>
          <w:sz w:val="24"/>
          <w:szCs w:val="24"/>
          <w:lang w:eastAsia="hr-HR"/>
        </w:rPr>
      </w:pPr>
      <w:bookmarkStart w:id="51" w:name="_Toc58937047"/>
      <w:bookmarkStart w:id="52" w:name="_Toc59178436"/>
      <w:bookmarkStart w:id="53" w:name="_Toc62050186"/>
      <w:r w:rsidRPr="003A6D7B">
        <w:rPr>
          <w:rFonts w:ascii="Times New Roman" w:hAnsi="Times New Roman" w:cs="Times New Roman"/>
          <w:sz w:val="24"/>
          <w:szCs w:val="24"/>
          <w:lang w:eastAsia="hr-HR"/>
        </w:rPr>
        <w:t xml:space="preserve">Opći poslovi </w:t>
      </w:r>
      <w:r w:rsidR="004B2E7F" w:rsidRPr="003A6D7B">
        <w:rPr>
          <w:rFonts w:ascii="Times New Roman" w:eastAsia="Calibri" w:hAnsi="Times New Roman" w:cs="Times New Roman"/>
          <w:sz w:val="24"/>
          <w:szCs w:val="24"/>
        </w:rPr>
        <w:t>uspostave Centra za zbrinjavanje radioaktivnog otpada</w:t>
      </w:r>
      <w:r w:rsidRPr="003A6D7B">
        <w:rPr>
          <w:rFonts w:ascii="Times New Roman" w:hAnsi="Times New Roman" w:cs="Times New Roman"/>
          <w:sz w:val="24"/>
          <w:szCs w:val="24"/>
          <w:lang w:eastAsia="hr-HR"/>
        </w:rPr>
        <w:t xml:space="preserve"> obuhvaćaju</w:t>
      </w:r>
      <w:r w:rsidR="00E2328F" w:rsidRPr="003A6D7B">
        <w:rPr>
          <w:rFonts w:ascii="Times New Roman" w:hAnsi="Times New Roman" w:cs="Times New Roman"/>
          <w:sz w:val="24"/>
          <w:szCs w:val="24"/>
          <w:lang w:eastAsia="hr-HR"/>
        </w:rPr>
        <w:t xml:space="preserve"> nastavak</w:t>
      </w:r>
      <w:r w:rsidRPr="003A6D7B">
        <w:rPr>
          <w:rFonts w:ascii="Times New Roman" w:hAnsi="Times New Roman" w:cs="Times New Roman"/>
          <w:sz w:val="24"/>
          <w:szCs w:val="24"/>
          <w:lang w:eastAsia="hr-HR"/>
        </w:rPr>
        <w:t xml:space="preserve"> aktivnosti provedbe fizičke zaštite lokacije Centra,</w:t>
      </w:r>
      <w:r w:rsidR="004B2E7F" w:rsidRPr="003A6D7B">
        <w:rPr>
          <w:rFonts w:ascii="Times New Roman" w:hAnsi="Times New Roman" w:cs="Times New Roman"/>
          <w:sz w:val="24"/>
          <w:szCs w:val="24"/>
          <w:lang w:eastAsia="hr-HR"/>
        </w:rPr>
        <w:t xml:space="preserve"> </w:t>
      </w:r>
      <w:r w:rsidR="003E58FB" w:rsidRPr="003A6D7B">
        <w:rPr>
          <w:rFonts w:ascii="Times New Roman" w:hAnsi="Times New Roman" w:cs="Times New Roman"/>
          <w:sz w:val="24"/>
          <w:szCs w:val="24"/>
          <w:lang w:eastAsia="hr-HR"/>
        </w:rPr>
        <w:t>održavanje lokacije Centra</w:t>
      </w:r>
      <w:r w:rsidRPr="003A6D7B">
        <w:rPr>
          <w:rFonts w:ascii="Times New Roman" w:hAnsi="Times New Roman" w:cs="Times New Roman"/>
          <w:sz w:val="24"/>
          <w:szCs w:val="24"/>
          <w:lang w:eastAsia="hr-HR"/>
        </w:rPr>
        <w:t>, organizacije i provedbe savjetodavnih usluga, radova i nabave opreme i inventara vezanih uz infrastrukturnu opremu na lokaciji Centra.</w:t>
      </w:r>
    </w:p>
    <w:p w14:paraId="18709339" w14:textId="15758A18" w:rsidR="003E58FB" w:rsidRPr="003A6D7B" w:rsidRDefault="003E58FB" w:rsidP="00597B9F">
      <w:pPr>
        <w:spacing w:after="360" w:line="276" w:lineRule="auto"/>
        <w:ind w:left="851"/>
        <w:rPr>
          <w:rFonts w:ascii="Times New Roman" w:hAnsi="Times New Roman" w:cs="Times New Roman"/>
          <w:sz w:val="24"/>
          <w:szCs w:val="24"/>
          <w:lang w:eastAsia="hr-HR"/>
        </w:rPr>
      </w:pPr>
      <w:r w:rsidRPr="003A6D7B">
        <w:rPr>
          <w:rFonts w:ascii="Times New Roman" w:hAnsi="Times New Roman" w:cs="Times New Roman"/>
          <w:sz w:val="24"/>
          <w:szCs w:val="24"/>
          <w:lang w:eastAsia="hr-HR"/>
        </w:rPr>
        <w:lastRenderedPageBreak/>
        <w:t>Također</w:t>
      </w:r>
      <w:r w:rsidR="00751BE9" w:rsidRPr="003A6D7B">
        <w:rPr>
          <w:rFonts w:ascii="Times New Roman" w:hAnsi="Times New Roman" w:cs="Times New Roman"/>
          <w:sz w:val="24"/>
          <w:szCs w:val="24"/>
          <w:lang w:eastAsia="hr-HR"/>
        </w:rPr>
        <w:t>, u</w:t>
      </w:r>
      <w:r w:rsidRPr="003A6D7B">
        <w:rPr>
          <w:rFonts w:ascii="Times New Roman" w:hAnsi="Times New Roman" w:cs="Times New Roman"/>
          <w:sz w:val="24"/>
          <w:szCs w:val="24"/>
          <w:lang w:eastAsia="hr-HR"/>
        </w:rPr>
        <w:t xml:space="preserve"> 2023. godini nastaviti </w:t>
      </w:r>
      <w:r w:rsidR="00751BE9" w:rsidRPr="003A6D7B">
        <w:rPr>
          <w:rFonts w:ascii="Times New Roman" w:hAnsi="Times New Roman" w:cs="Times New Roman"/>
          <w:sz w:val="24"/>
          <w:szCs w:val="24"/>
          <w:lang w:eastAsia="hr-HR"/>
        </w:rPr>
        <w:t xml:space="preserve">će se </w:t>
      </w:r>
      <w:r w:rsidRPr="003A6D7B">
        <w:rPr>
          <w:rFonts w:ascii="Times New Roman" w:hAnsi="Times New Roman" w:cs="Times New Roman"/>
          <w:sz w:val="24"/>
          <w:szCs w:val="24"/>
          <w:lang w:eastAsia="hr-HR"/>
        </w:rPr>
        <w:t>s aktivnostima razminiranja dijelova lokacije radi istraživanja i mjerenja potrebnih za izradu projektne dokumentacije.</w:t>
      </w:r>
    </w:p>
    <w:p w14:paraId="727C6689" w14:textId="637AC01F" w:rsidR="007B4F2C" w:rsidRPr="003A6D7B" w:rsidRDefault="00CD5886" w:rsidP="00952571">
      <w:pPr>
        <w:pStyle w:val="Heading2"/>
        <w:spacing w:line="276" w:lineRule="auto"/>
        <w:jc w:val="left"/>
        <w:rPr>
          <w:rFonts w:ascii="Times New Roman" w:hAnsi="Times New Roman" w:cs="Times New Roman"/>
        </w:rPr>
      </w:pPr>
      <w:bookmarkStart w:id="54" w:name="_Toc130809354"/>
      <w:r w:rsidRPr="003A6D7B">
        <w:rPr>
          <w:rFonts w:ascii="Times New Roman" w:hAnsi="Times New Roman" w:cs="Times New Roman"/>
        </w:rPr>
        <w:t>Zbrinjavanje IRAO i II</w:t>
      </w:r>
      <w:bookmarkEnd w:id="54"/>
    </w:p>
    <w:p w14:paraId="03F67D9C" w14:textId="4501BEFC" w:rsidR="005E3AA5" w:rsidRPr="003A6D7B" w:rsidRDefault="005E3AA5"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Za potrebe sigurnog skladištenja IRAO i II nastalog u brojnim medicinskim, industrijskim, istraživačkim, obrazovnim i drugim postrojenjima te budućeg IRAO i II</w:t>
      </w:r>
      <w:r w:rsidR="00E2328F" w:rsidRPr="003A6D7B">
        <w:rPr>
          <w:rFonts w:ascii="Times New Roman" w:hAnsi="Times New Roman" w:cs="Times New Roman"/>
          <w:sz w:val="24"/>
          <w:szCs w:val="24"/>
        </w:rPr>
        <w:t xml:space="preserve"> na lokaciji Centra</w:t>
      </w:r>
      <w:r w:rsidRPr="003A6D7B">
        <w:rPr>
          <w:rFonts w:ascii="Times New Roman" w:hAnsi="Times New Roman" w:cs="Times New Roman"/>
          <w:sz w:val="24"/>
          <w:szCs w:val="24"/>
        </w:rPr>
        <w:t xml:space="preserve">, </w:t>
      </w:r>
      <w:r w:rsidR="00E2328F" w:rsidRPr="003A6D7B">
        <w:rPr>
          <w:rFonts w:ascii="Times New Roman" w:hAnsi="Times New Roman" w:cs="Times New Roman"/>
          <w:sz w:val="24"/>
          <w:szCs w:val="24"/>
        </w:rPr>
        <w:t xml:space="preserve">biti će </w:t>
      </w:r>
      <w:r w:rsidRPr="003A6D7B">
        <w:rPr>
          <w:rFonts w:ascii="Times New Roman" w:hAnsi="Times New Roman" w:cs="Times New Roman"/>
          <w:sz w:val="24"/>
          <w:szCs w:val="24"/>
        </w:rPr>
        <w:t xml:space="preserve">obvezno provesti dodatnu obradu i kondicioniranje dijela tog otpada. </w:t>
      </w:r>
      <w:r w:rsidR="00751BE9" w:rsidRPr="003A6D7B">
        <w:rPr>
          <w:rFonts w:ascii="Times New Roman" w:hAnsi="Times New Roman" w:cs="Times New Roman"/>
          <w:sz w:val="24"/>
          <w:szCs w:val="24"/>
        </w:rPr>
        <w:t xml:space="preserve">S obzirom na to da se temeljem smjernica i obveza definiranih u Strategiji i Nacionalnom programu provedbe Strategije zbrinjavanja RAO, II i ING u Centru neće obavljati aktivnosti obrade i kondicioniranja institucionalnog radioaktivnog otpada i iskorištenih izvora, </w:t>
      </w:r>
      <w:r w:rsidRPr="003A6D7B">
        <w:rPr>
          <w:rFonts w:ascii="Times New Roman" w:hAnsi="Times New Roman" w:cs="Times New Roman"/>
          <w:sz w:val="24"/>
          <w:szCs w:val="24"/>
        </w:rPr>
        <w:t>u 202</w:t>
      </w:r>
      <w:r w:rsidR="00751BE9" w:rsidRPr="003A6D7B">
        <w:rPr>
          <w:rFonts w:ascii="Times New Roman" w:hAnsi="Times New Roman" w:cs="Times New Roman"/>
          <w:sz w:val="24"/>
          <w:szCs w:val="24"/>
        </w:rPr>
        <w:t>3</w:t>
      </w:r>
      <w:r w:rsidRPr="003A6D7B">
        <w:rPr>
          <w:rFonts w:ascii="Times New Roman" w:hAnsi="Times New Roman" w:cs="Times New Roman"/>
          <w:sz w:val="24"/>
          <w:szCs w:val="24"/>
        </w:rPr>
        <w:t>. godini planirana je izrada studije koja će sagledati i analizirati scenarije</w:t>
      </w:r>
      <w:r w:rsidR="00751BE9" w:rsidRPr="003A6D7B">
        <w:rPr>
          <w:rFonts w:ascii="Times New Roman" w:hAnsi="Times New Roman" w:cs="Times New Roman"/>
          <w:sz w:val="24"/>
          <w:szCs w:val="24"/>
        </w:rPr>
        <w:t xml:space="preserve"> i</w:t>
      </w:r>
      <w:r w:rsidRPr="003A6D7B">
        <w:rPr>
          <w:rFonts w:ascii="Times New Roman" w:hAnsi="Times New Roman" w:cs="Times New Roman"/>
          <w:sz w:val="24"/>
          <w:szCs w:val="24"/>
        </w:rPr>
        <w:t xml:space="preserve"> </w:t>
      </w:r>
      <w:r w:rsidR="00751BE9" w:rsidRPr="003A6D7B">
        <w:rPr>
          <w:rFonts w:ascii="Times New Roman" w:hAnsi="Times New Roman" w:cs="Times New Roman"/>
          <w:sz w:val="24"/>
          <w:szCs w:val="24"/>
        </w:rPr>
        <w:t>mogućnosti</w:t>
      </w:r>
      <w:r w:rsidRPr="003A6D7B">
        <w:rPr>
          <w:rFonts w:ascii="Times New Roman" w:hAnsi="Times New Roman" w:cs="Times New Roman"/>
          <w:sz w:val="24"/>
          <w:szCs w:val="24"/>
        </w:rPr>
        <w:t xml:space="preserve"> karakterizacije, obrade i kondicioniranja IRAO i II izvan Centra odnosno na lokaciji prouzročitelja na teritoriju RH ili pomoću mobilnog postrojenja.</w:t>
      </w:r>
    </w:p>
    <w:p w14:paraId="7344AE37" w14:textId="5DC68699" w:rsidR="00723EBB" w:rsidRPr="003A6D7B" w:rsidRDefault="00CD5886"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Osim zbrinjavanja IRAO-a i II-ja iz IRB-a, IMI-a i iz privremenih skladišta ostalih vlasnika otpada, u Centru će se zbrinjavati i sav IRAO i II bez poznatog vlasnika kao i radioaktivni gromobrani.</w:t>
      </w:r>
      <w:r w:rsidR="00324B19" w:rsidRPr="003A6D7B">
        <w:rPr>
          <w:rFonts w:ascii="Times New Roman" w:hAnsi="Times New Roman" w:cs="Times New Roman"/>
          <w:sz w:val="24"/>
          <w:szCs w:val="24"/>
        </w:rPr>
        <w:t xml:space="preserve"> 2000. godine donesen je propis kojim se svi radioaktivni gromobrani (RAG) moraju demontirati do kraja 2005. godine kojih je krajem 2021. godine preostalo oko četrdesetak na mjestu uporabe</w:t>
      </w:r>
      <w:r w:rsidRPr="003A6D7B">
        <w:rPr>
          <w:rFonts w:ascii="Times New Roman" w:hAnsi="Times New Roman" w:cs="Times New Roman"/>
          <w:sz w:val="24"/>
          <w:szCs w:val="24"/>
        </w:rPr>
        <w:t xml:space="preserve"> Zbrinjavanje takve vrste otpada predstavlja izazov te je Programom rada </w:t>
      </w:r>
      <w:r w:rsidR="00E2328F" w:rsidRPr="003A6D7B">
        <w:rPr>
          <w:rFonts w:ascii="Times New Roman" w:hAnsi="Times New Roman" w:cs="Times New Roman"/>
          <w:sz w:val="24"/>
          <w:szCs w:val="24"/>
        </w:rPr>
        <w:t xml:space="preserve">za 2023. godinu </w:t>
      </w:r>
      <w:r w:rsidRPr="003A6D7B">
        <w:rPr>
          <w:rFonts w:ascii="Times New Roman" w:hAnsi="Times New Roman" w:cs="Times New Roman"/>
          <w:sz w:val="24"/>
          <w:szCs w:val="24"/>
        </w:rPr>
        <w:t xml:space="preserve">predviđena </w:t>
      </w:r>
      <w:r w:rsidR="00E2328F" w:rsidRPr="003A6D7B">
        <w:rPr>
          <w:rFonts w:ascii="Times New Roman" w:hAnsi="Times New Roman" w:cs="Times New Roman"/>
          <w:sz w:val="24"/>
          <w:szCs w:val="24"/>
        </w:rPr>
        <w:t xml:space="preserve">izrada analize </w:t>
      </w:r>
      <w:r w:rsidRPr="003A6D7B">
        <w:rPr>
          <w:rFonts w:ascii="Times New Roman" w:hAnsi="Times New Roman" w:cs="Times New Roman"/>
          <w:sz w:val="24"/>
          <w:szCs w:val="24"/>
        </w:rPr>
        <w:t xml:space="preserve">koja će </w:t>
      </w:r>
      <w:r w:rsidR="00F92D60" w:rsidRPr="003A6D7B">
        <w:rPr>
          <w:rFonts w:ascii="Times New Roman" w:hAnsi="Times New Roman" w:cs="Times New Roman"/>
          <w:sz w:val="24"/>
          <w:szCs w:val="24"/>
        </w:rPr>
        <w:t xml:space="preserve">sadržati radne upute, korake i aktivnosti koje </w:t>
      </w:r>
      <w:r w:rsidR="00E2328F" w:rsidRPr="003A6D7B">
        <w:rPr>
          <w:rFonts w:ascii="Times New Roman" w:hAnsi="Times New Roman" w:cs="Times New Roman"/>
          <w:sz w:val="24"/>
          <w:szCs w:val="24"/>
        </w:rPr>
        <w:t xml:space="preserve">će </w:t>
      </w:r>
      <w:r w:rsidR="00F92D60" w:rsidRPr="003A6D7B">
        <w:rPr>
          <w:rFonts w:ascii="Times New Roman" w:hAnsi="Times New Roman" w:cs="Times New Roman"/>
          <w:sz w:val="24"/>
          <w:szCs w:val="24"/>
        </w:rPr>
        <w:t>treba</w:t>
      </w:r>
      <w:r w:rsidR="00E2328F" w:rsidRPr="003A6D7B">
        <w:rPr>
          <w:rFonts w:ascii="Times New Roman" w:hAnsi="Times New Roman" w:cs="Times New Roman"/>
          <w:sz w:val="24"/>
          <w:szCs w:val="24"/>
        </w:rPr>
        <w:t>ti</w:t>
      </w:r>
      <w:r w:rsidR="00F92D60" w:rsidRPr="003A6D7B">
        <w:rPr>
          <w:rFonts w:ascii="Times New Roman" w:hAnsi="Times New Roman" w:cs="Times New Roman"/>
          <w:sz w:val="24"/>
          <w:szCs w:val="24"/>
        </w:rPr>
        <w:t xml:space="preserve"> obaviti prilikom zbrinjavanja ovakvih izvora na siguran način</w:t>
      </w:r>
      <w:r w:rsidRPr="003A6D7B">
        <w:rPr>
          <w:rFonts w:ascii="Times New Roman" w:hAnsi="Times New Roman" w:cs="Times New Roman"/>
          <w:sz w:val="24"/>
          <w:szCs w:val="24"/>
        </w:rPr>
        <w:t>.</w:t>
      </w:r>
    </w:p>
    <w:p w14:paraId="24267D97" w14:textId="77777777" w:rsidR="00397D9C" w:rsidRPr="003A6D7B" w:rsidRDefault="00397D9C" w:rsidP="00F660FA">
      <w:pPr>
        <w:spacing w:line="276" w:lineRule="auto"/>
        <w:rPr>
          <w:rFonts w:ascii="Times New Roman" w:hAnsi="Times New Roman" w:cs="Times New Roman"/>
          <w:sz w:val="24"/>
          <w:szCs w:val="24"/>
        </w:rPr>
      </w:pPr>
    </w:p>
    <w:p w14:paraId="7F9FD497" w14:textId="592BC7BA" w:rsidR="008067F7" w:rsidRPr="003A6D7B" w:rsidRDefault="008067F7" w:rsidP="00952571">
      <w:pPr>
        <w:pStyle w:val="Heading2"/>
        <w:spacing w:line="276" w:lineRule="auto"/>
        <w:jc w:val="left"/>
        <w:rPr>
          <w:rFonts w:ascii="Times New Roman" w:hAnsi="Times New Roman" w:cs="Times New Roman"/>
        </w:rPr>
      </w:pPr>
      <w:bookmarkStart w:id="55" w:name="_Ref120308655"/>
      <w:bookmarkStart w:id="56" w:name="_Toc130809355"/>
      <w:r w:rsidRPr="003A6D7B">
        <w:rPr>
          <w:rFonts w:ascii="Times New Roman" w:hAnsi="Times New Roman" w:cs="Times New Roman"/>
        </w:rPr>
        <w:t>Preuzimanje NSRAO-a iz NE Krško</w:t>
      </w:r>
      <w:bookmarkEnd w:id="55"/>
      <w:bookmarkEnd w:id="56"/>
    </w:p>
    <w:p w14:paraId="7F9A0D8C" w14:textId="0A231257" w:rsidR="004F60F1" w:rsidRPr="003A6D7B" w:rsidRDefault="00BD5BE1"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Tijekom 2022. </w:t>
      </w:r>
      <w:r w:rsidR="004F60F1"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francuska kompanija ORANO, u suradnji s NEK-om i Fondom  </w:t>
      </w:r>
      <w:r w:rsidR="004F60F1" w:rsidRPr="003A6D7B">
        <w:rPr>
          <w:rFonts w:ascii="Times New Roman" w:hAnsi="Times New Roman" w:cs="Times New Roman"/>
          <w:sz w:val="24"/>
          <w:szCs w:val="24"/>
        </w:rPr>
        <w:t xml:space="preserve"> analizira</w:t>
      </w:r>
      <w:r w:rsidRPr="003A6D7B">
        <w:rPr>
          <w:rFonts w:ascii="Times New Roman" w:hAnsi="Times New Roman" w:cs="Times New Roman"/>
          <w:sz w:val="24"/>
          <w:szCs w:val="24"/>
        </w:rPr>
        <w:t>la</w:t>
      </w:r>
      <w:r w:rsidR="004F60F1"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je </w:t>
      </w:r>
      <w:r w:rsidR="004F60F1" w:rsidRPr="003A6D7B">
        <w:rPr>
          <w:rFonts w:ascii="Times New Roman" w:hAnsi="Times New Roman" w:cs="Times New Roman"/>
          <w:sz w:val="24"/>
          <w:szCs w:val="24"/>
        </w:rPr>
        <w:t>mogućnosti obrade i kondicioniranja hrvatske polovice NSRAO-a u postrojenjima u Francuskoj te pakiranja i cementiranja paketa NSRAO-a na lokaciji NEK-a.</w:t>
      </w:r>
    </w:p>
    <w:p w14:paraId="07796F23" w14:textId="31EA0302" w:rsidR="004F60F1" w:rsidRPr="003A6D7B" w:rsidRDefault="004F60F1"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Tijekom 2023. godine </w:t>
      </w:r>
      <w:r w:rsidR="00BD5BE1" w:rsidRPr="003A6D7B">
        <w:rPr>
          <w:rFonts w:ascii="Times New Roman" w:hAnsi="Times New Roman" w:cs="Times New Roman"/>
          <w:sz w:val="24"/>
          <w:szCs w:val="24"/>
        </w:rPr>
        <w:t xml:space="preserve">dovršit će se studije vezane uz </w:t>
      </w:r>
      <w:r w:rsidRPr="003A6D7B">
        <w:rPr>
          <w:rFonts w:ascii="Times New Roman" w:hAnsi="Times New Roman" w:cs="Times New Roman"/>
          <w:sz w:val="24"/>
          <w:szCs w:val="24"/>
        </w:rPr>
        <w:t xml:space="preserve"> </w:t>
      </w:r>
      <w:r w:rsidR="00A24722" w:rsidRPr="003A6D7B">
        <w:rPr>
          <w:rFonts w:ascii="Times New Roman" w:hAnsi="Times New Roman" w:cs="Times New Roman"/>
          <w:sz w:val="24"/>
          <w:szCs w:val="24"/>
        </w:rPr>
        <w:t xml:space="preserve">mogućnost </w:t>
      </w:r>
      <w:r w:rsidR="00BD5BE1" w:rsidRPr="003A6D7B">
        <w:rPr>
          <w:rFonts w:ascii="Times New Roman" w:hAnsi="Times New Roman" w:cs="Times New Roman"/>
          <w:sz w:val="24"/>
          <w:szCs w:val="24"/>
        </w:rPr>
        <w:t>transport</w:t>
      </w:r>
      <w:r w:rsidR="00A24722" w:rsidRPr="003A6D7B">
        <w:rPr>
          <w:rFonts w:ascii="Times New Roman" w:hAnsi="Times New Roman" w:cs="Times New Roman"/>
          <w:sz w:val="24"/>
          <w:szCs w:val="24"/>
        </w:rPr>
        <w:t>a</w:t>
      </w:r>
      <w:r w:rsidRPr="003A6D7B">
        <w:rPr>
          <w:rFonts w:ascii="Times New Roman" w:hAnsi="Times New Roman" w:cs="Times New Roman"/>
          <w:sz w:val="24"/>
          <w:szCs w:val="24"/>
        </w:rPr>
        <w:t>, karakterizacij</w:t>
      </w:r>
      <w:r w:rsidR="00A24722" w:rsidRPr="003A6D7B">
        <w:rPr>
          <w:rFonts w:ascii="Times New Roman" w:hAnsi="Times New Roman" w:cs="Times New Roman"/>
          <w:sz w:val="24"/>
          <w:szCs w:val="24"/>
        </w:rPr>
        <w:t>e</w:t>
      </w:r>
      <w:r w:rsidRPr="003A6D7B">
        <w:rPr>
          <w:rFonts w:ascii="Times New Roman" w:hAnsi="Times New Roman" w:cs="Times New Roman"/>
          <w:sz w:val="24"/>
          <w:szCs w:val="24"/>
        </w:rPr>
        <w:t xml:space="preserve"> i te kondicioniranja </w:t>
      </w:r>
      <w:r w:rsidR="00BD5BE1" w:rsidRPr="003A6D7B">
        <w:rPr>
          <w:rFonts w:ascii="Times New Roman" w:hAnsi="Times New Roman" w:cs="Times New Roman"/>
          <w:sz w:val="24"/>
          <w:szCs w:val="24"/>
        </w:rPr>
        <w:t>oko 20%</w:t>
      </w:r>
      <w:r w:rsidRPr="003A6D7B">
        <w:rPr>
          <w:rFonts w:ascii="Times New Roman" w:hAnsi="Times New Roman" w:cs="Times New Roman"/>
          <w:sz w:val="24"/>
          <w:szCs w:val="24"/>
        </w:rPr>
        <w:t xml:space="preserve"> hrvatske polovice NSRAO iz NE Krško</w:t>
      </w:r>
      <w:r w:rsidR="00A24722" w:rsidRPr="003A6D7B">
        <w:rPr>
          <w:rFonts w:ascii="Times New Roman" w:hAnsi="Times New Roman" w:cs="Times New Roman"/>
          <w:sz w:val="24"/>
          <w:szCs w:val="24"/>
        </w:rPr>
        <w:t xml:space="preserve"> </w:t>
      </w:r>
      <w:r w:rsidRPr="003A6D7B">
        <w:rPr>
          <w:rFonts w:ascii="Times New Roman" w:hAnsi="Times New Roman" w:cs="Times New Roman"/>
          <w:sz w:val="24"/>
          <w:szCs w:val="24"/>
        </w:rPr>
        <w:t>Sukladno odluci MDP-a</w:t>
      </w:r>
      <w:r w:rsidR="00A24722" w:rsidRPr="003A6D7B">
        <w:rPr>
          <w:rFonts w:ascii="Times New Roman" w:hAnsi="Times New Roman" w:cs="Times New Roman"/>
          <w:sz w:val="24"/>
          <w:szCs w:val="24"/>
        </w:rPr>
        <w:t xml:space="preserve"> iz travnja 2022., </w:t>
      </w:r>
      <w:r w:rsidRPr="003A6D7B">
        <w:rPr>
          <w:rFonts w:ascii="Times New Roman" w:hAnsi="Times New Roman" w:cs="Times New Roman"/>
          <w:sz w:val="24"/>
          <w:szCs w:val="24"/>
        </w:rPr>
        <w:t xml:space="preserve"> u prvoj fazi </w:t>
      </w:r>
      <w:r w:rsidR="00BD5BE1" w:rsidRPr="003A6D7B">
        <w:rPr>
          <w:rFonts w:ascii="Times New Roman" w:hAnsi="Times New Roman" w:cs="Times New Roman"/>
          <w:sz w:val="24"/>
          <w:szCs w:val="24"/>
        </w:rPr>
        <w:t>Fond</w:t>
      </w:r>
      <w:r w:rsidRPr="003A6D7B">
        <w:rPr>
          <w:rFonts w:ascii="Times New Roman" w:hAnsi="Times New Roman" w:cs="Times New Roman"/>
          <w:sz w:val="24"/>
          <w:szCs w:val="24"/>
        </w:rPr>
        <w:t xml:space="preserve"> treba odvesti s lokacije NE Krško 617 D6 bačava na </w:t>
      </w:r>
      <w:r w:rsidR="00BD5BE1" w:rsidRPr="003A6D7B">
        <w:rPr>
          <w:rFonts w:ascii="Times New Roman" w:hAnsi="Times New Roman" w:cs="Times New Roman"/>
          <w:sz w:val="24"/>
          <w:szCs w:val="24"/>
        </w:rPr>
        <w:t>obradu</w:t>
      </w:r>
      <w:r w:rsidRPr="003A6D7B">
        <w:rPr>
          <w:rFonts w:ascii="Times New Roman" w:hAnsi="Times New Roman" w:cs="Times New Roman"/>
          <w:sz w:val="24"/>
          <w:szCs w:val="24"/>
        </w:rPr>
        <w:t xml:space="preserve"> u inozemstvo</w:t>
      </w:r>
      <w:r w:rsidR="00E2328F" w:rsidRPr="003A6D7B">
        <w:rPr>
          <w:rFonts w:ascii="Times New Roman" w:hAnsi="Times New Roman" w:cs="Times New Roman"/>
          <w:sz w:val="24"/>
          <w:szCs w:val="24"/>
        </w:rPr>
        <w:t xml:space="preserve">. </w:t>
      </w:r>
      <w:r w:rsidR="00BD5BE1" w:rsidRPr="003A6D7B">
        <w:rPr>
          <w:rFonts w:ascii="Times New Roman" w:hAnsi="Times New Roman" w:cs="Times New Roman"/>
          <w:sz w:val="24"/>
          <w:szCs w:val="24"/>
        </w:rPr>
        <w:t>U</w:t>
      </w:r>
      <w:r w:rsidR="00E2328F" w:rsidRPr="003A6D7B">
        <w:rPr>
          <w:rFonts w:ascii="Times New Roman" w:hAnsi="Times New Roman" w:cs="Times New Roman"/>
          <w:sz w:val="24"/>
          <w:szCs w:val="24"/>
        </w:rPr>
        <w:t xml:space="preserve"> 2023. </w:t>
      </w:r>
      <w:r w:rsidR="00BD5BE1" w:rsidRPr="003A6D7B">
        <w:rPr>
          <w:rFonts w:ascii="Times New Roman" w:hAnsi="Times New Roman" w:cs="Times New Roman"/>
          <w:sz w:val="24"/>
          <w:szCs w:val="24"/>
        </w:rPr>
        <w:t>dovršit će se</w:t>
      </w:r>
      <w:r w:rsidR="00E2328F" w:rsidRPr="003A6D7B">
        <w:rPr>
          <w:rFonts w:ascii="Times New Roman" w:hAnsi="Times New Roman" w:cs="Times New Roman"/>
          <w:sz w:val="24"/>
          <w:szCs w:val="24"/>
        </w:rPr>
        <w:t xml:space="preserve"> natječajn</w:t>
      </w:r>
      <w:r w:rsidR="00BD5BE1" w:rsidRPr="003A6D7B">
        <w:rPr>
          <w:rFonts w:ascii="Times New Roman" w:hAnsi="Times New Roman" w:cs="Times New Roman"/>
          <w:sz w:val="24"/>
          <w:szCs w:val="24"/>
        </w:rPr>
        <w:t>i</w:t>
      </w:r>
      <w:r w:rsidR="00E2328F" w:rsidRPr="003A6D7B">
        <w:rPr>
          <w:rFonts w:ascii="Times New Roman" w:hAnsi="Times New Roman" w:cs="Times New Roman"/>
          <w:sz w:val="24"/>
          <w:szCs w:val="24"/>
        </w:rPr>
        <w:t xml:space="preserve"> postup</w:t>
      </w:r>
      <w:r w:rsidR="00BD5BE1" w:rsidRPr="003A6D7B">
        <w:rPr>
          <w:rFonts w:ascii="Times New Roman" w:hAnsi="Times New Roman" w:cs="Times New Roman"/>
          <w:sz w:val="24"/>
          <w:szCs w:val="24"/>
        </w:rPr>
        <w:t>ak</w:t>
      </w:r>
      <w:r w:rsidR="00E2328F" w:rsidRPr="003A6D7B">
        <w:rPr>
          <w:rFonts w:ascii="Times New Roman" w:hAnsi="Times New Roman" w:cs="Times New Roman"/>
          <w:sz w:val="24"/>
          <w:szCs w:val="24"/>
        </w:rPr>
        <w:t xml:space="preserve"> i</w:t>
      </w:r>
      <w:r w:rsidR="00BD5BE1" w:rsidRPr="003A6D7B">
        <w:rPr>
          <w:rFonts w:ascii="Times New Roman" w:hAnsi="Times New Roman" w:cs="Times New Roman"/>
          <w:sz w:val="24"/>
          <w:szCs w:val="24"/>
        </w:rPr>
        <w:t xml:space="preserve"> ugovoriti</w:t>
      </w:r>
      <w:r w:rsidR="00E2328F" w:rsidRPr="003A6D7B">
        <w:rPr>
          <w:rFonts w:ascii="Times New Roman" w:hAnsi="Times New Roman" w:cs="Times New Roman"/>
          <w:sz w:val="24"/>
          <w:szCs w:val="24"/>
        </w:rPr>
        <w:t xml:space="preserve"> usluge </w:t>
      </w:r>
      <w:r w:rsidR="007F0B9E" w:rsidRPr="003A6D7B">
        <w:rPr>
          <w:rFonts w:ascii="Times New Roman" w:hAnsi="Times New Roman" w:cs="Times New Roman"/>
          <w:sz w:val="24"/>
          <w:szCs w:val="24"/>
        </w:rPr>
        <w:t>prijevoza, karakterizacije, skladištenja</w:t>
      </w:r>
      <w:r w:rsidR="00BD5BE1" w:rsidRPr="003A6D7B">
        <w:rPr>
          <w:rFonts w:ascii="Times New Roman" w:hAnsi="Times New Roman" w:cs="Times New Roman"/>
          <w:sz w:val="24"/>
          <w:szCs w:val="24"/>
        </w:rPr>
        <w:t xml:space="preserve"> i</w:t>
      </w:r>
      <w:r w:rsidR="007F0B9E" w:rsidRPr="003A6D7B">
        <w:rPr>
          <w:rFonts w:ascii="Times New Roman" w:hAnsi="Times New Roman" w:cs="Times New Roman"/>
          <w:sz w:val="24"/>
          <w:szCs w:val="24"/>
        </w:rPr>
        <w:t xml:space="preserve"> kondicioniranja otpada u RCC kontejnere, te povratak u Hrvatsku nakon izgradnje Centra.</w:t>
      </w:r>
      <w:r w:rsidR="00BD5BE1" w:rsidRPr="003A6D7B">
        <w:rPr>
          <w:rFonts w:ascii="Times New Roman" w:hAnsi="Times New Roman" w:cs="Times New Roman"/>
          <w:sz w:val="24"/>
          <w:szCs w:val="24"/>
        </w:rPr>
        <w:t xml:space="preserve"> Cijeli proces </w:t>
      </w:r>
      <w:r w:rsidR="00BD5BE1" w:rsidRPr="003A6D7B">
        <w:rPr>
          <w:rFonts w:ascii="Times New Roman" w:hAnsi="Times New Roman" w:cs="Times New Roman"/>
          <w:sz w:val="24"/>
          <w:szCs w:val="24"/>
        </w:rPr>
        <w:lastRenderedPageBreak/>
        <w:t>mogao bi trajati oko 5 godina</w:t>
      </w:r>
      <w:r w:rsidR="002541FA" w:rsidRPr="003A6D7B">
        <w:rPr>
          <w:rFonts w:ascii="Times New Roman" w:hAnsi="Times New Roman" w:cs="Times New Roman"/>
          <w:sz w:val="24"/>
          <w:szCs w:val="24"/>
        </w:rPr>
        <w:t>.</w:t>
      </w:r>
      <w:r w:rsidR="007F0B9E" w:rsidRPr="003A6D7B">
        <w:rPr>
          <w:rFonts w:ascii="Times New Roman" w:hAnsi="Times New Roman" w:cs="Times New Roman"/>
          <w:sz w:val="24"/>
          <w:szCs w:val="24"/>
        </w:rPr>
        <w:t xml:space="preserve"> Preuzimanjem bačava s otpadom iz skladišta NEK-a, Fond postaje </w:t>
      </w:r>
      <w:r w:rsidR="00A24722" w:rsidRPr="003A6D7B">
        <w:rPr>
          <w:rFonts w:ascii="Times New Roman" w:hAnsi="Times New Roman" w:cs="Times New Roman"/>
          <w:sz w:val="24"/>
          <w:szCs w:val="24"/>
        </w:rPr>
        <w:t xml:space="preserve">njegov </w:t>
      </w:r>
      <w:r w:rsidR="007F0B9E" w:rsidRPr="003A6D7B">
        <w:rPr>
          <w:rFonts w:ascii="Times New Roman" w:hAnsi="Times New Roman" w:cs="Times New Roman"/>
          <w:sz w:val="24"/>
          <w:szCs w:val="24"/>
        </w:rPr>
        <w:t>vlasni</w:t>
      </w:r>
      <w:r w:rsidR="00D0135F" w:rsidRPr="003A6D7B">
        <w:rPr>
          <w:rFonts w:ascii="Times New Roman" w:hAnsi="Times New Roman" w:cs="Times New Roman"/>
          <w:sz w:val="24"/>
          <w:szCs w:val="24"/>
        </w:rPr>
        <w:t>k</w:t>
      </w:r>
      <w:r w:rsidR="00A24722" w:rsidRPr="003A6D7B">
        <w:rPr>
          <w:rFonts w:ascii="Times New Roman" w:hAnsi="Times New Roman" w:cs="Times New Roman"/>
          <w:sz w:val="24"/>
          <w:szCs w:val="24"/>
        </w:rPr>
        <w:t>.</w:t>
      </w:r>
    </w:p>
    <w:p w14:paraId="48B60A3F" w14:textId="3AF7AB76" w:rsidR="007F0B9E" w:rsidRPr="003A6D7B" w:rsidRDefault="007F0B9E"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Za potrebe prijevoza bačava Fond</w:t>
      </w:r>
      <w:r w:rsidR="00A24722" w:rsidRPr="003A6D7B">
        <w:rPr>
          <w:rFonts w:ascii="Times New Roman" w:hAnsi="Times New Roman" w:cs="Times New Roman"/>
          <w:sz w:val="24"/>
          <w:szCs w:val="24"/>
        </w:rPr>
        <w:t xml:space="preserve"> treba osigurati</w:t>
      </w:r>
      <w:r w:rsidRPr="003A6D7B">
        <w:rPr>
          <w:rFonts w:ascii="Times New Roman" w:hAnsi="Times New Roman" w:cs="Times New Roman"/>
          <w:sz w:val="24"/>
          <w:szCs w:val="24"/>
        </w:rPr>
        <w:t xml:space="preserve"> IP2 kontejnere koji će biti predmet zasebne nabave. Osiguranje prijevoza do konačnog odredišta odgovornost je Fonda, kao i kontrola bačava prilikom preuzimanja od NEK-a, odnosno prilikom punjenja u IP2 kontejnere.</w:t>
      </w:r>
      <w:r w:rsidR="002541FA" w:rsidRPr="003A6D7B">
        <w:rPr>
          <w:rFonts w:ascii="Times New Roman" w:hAnsi="Times New Roman" w:cs="Times New Roman"/>
          <w:sz w:val="24"/>
          <w:szCs w:val="24"/>
        </w:rPr>
        <w:t xml:space="preserve"> Fond će tijekom 2023. godine izraditi i veći dio radiološke karakterizacije prvog dijela otpada iz NEK-a.</w:t>
      </w:r>
    </w:p>
    <w:p w14:paraId="26F987B5" w14:textId="7BDCA642" w:rsidR="004B4EBB" w:rsidRPr="003A6D7B" w:rsidRDefault="00BD5BE1"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U cilju lokalizacije proizvodnje </w:t>
      </w:r>
      <w:r w:rsidR="004B4EBB" w:rsidRPr="003A6D7B">
        <w:rPr>
          <w:rFonts w:ascii="Times New Roman" w:hAnsi="Times New Roman" w:cs="Times New Roman"/>
          <w:sz w:val="24"/>
          <w:szCs w:val="24"/>
        </w:rPr>
        <w:t>skladišno-odlagališn</w:t>
      </w:r>
      <w:r w:rsidRPr="003A6D7B">
        <w:rPr>
          <w:rFonts w:ascii="Times New Roman" w:hAnsi="Times New Roman" w:cs="Times New Roman"/>
          <w:sz w:val="24"/>
          <w:szCs w:val="24"/>
        </w:rPr>
        <w:t>ih</w:t>
      </w:r>
      <w:r w:rsidR="004B4EBB" w:rsidRPr="003A6D7B">
        <w:rPr>
          <w:rFonts w:ascii="Times New Roman" w:hAnsi="Times New Roman" w:cs="Times New Roman"/>
          <w:sz w:val="24"/>
          <w:szCs w:val="24"/>
        </w:rPr>
        <w:t xml:space="preserve"> spremni</w:t>
      </w:r>
      <w:r w:rsidRPr="003A6D7B">
        <w:rPr>
          <w:rFonts w:ascii="Times New Roman" w:hAnsi="Times New Roman" w:cs="Times New Roman"/>
          <w:sz w:val="24"/>
          <w:szCs w:val="24"/>
        </w:rPr>
        <w:t xml:space="preserve">ka </w:t>
      </w:r>
      <w:r w:rsidR="004B4EBB" w:rsidRPr="003A6D7B">
        <w:rPr>
          <w:rFonts w:ascii="Times New Roman" w:hAnsi="Times New Roman" w:cs="Times New Roman"/>
          <w:sz w:val="24"/>
          <w:szCs w:val="24"/>
        </w:rPr>
        <w:t>(RCC)</w:t>
      </w:r>
      <w:r w:rsidRPr="003A6D7B">
        <w:rPr>
          <w:rFonts w:ascii="Times New Roman" w:hAnsi="Times New Roman" w:cs="Times New Roman"/>
          <w:sz w:val="24"/>
          <w:szCs w:val="24"/>
        </w:rPr>
        <w:t>,</w:t>
      </w:r>
      <w:r w:rsidR="004B4EBB" w:rsidRPr="003A6D7B">
        <w:rPr>
          <w:rFonts w:ascii="Times New Roman" w:hAnsi="Times New Roman" w:cs="Times New Roman"/>
          <w:sz w:val="24"/>
          <w:szCs w:val="24"/>
        </w:rPr>
        <w:t xml:space="preserve"> u 2023. godini </w:t>
      </w:r>
      <w:r w:rsidRPr="003A6D7B">
        <w:rPr>
          <w:rFonts w:ascii="Times New Roman" w:hAnsi="Times New Roman" w:cs="Times New Roman"/>
          <w:sz w:val="24"/>
          <w:szCs w:val="24"/>
        </w:rPr>
        <w:t>će se pokrenuti</w:t>
      </w:r>
      <w:r w:rsidR="004B4EBB" w:rsidRPr="003A6D7B">
        <w:rPr>
          <w:rFonts w:ascii="Times New Roman" w:hAnsi="Times New Roman" w:cs="Times New Roman"/>
          <w:sz w:val="24"/>
          <w:szCs w:val="24"/>
        </w:rPr>
        <w:t xml:space="preserve"> aktivnost </w:t>
      </w:r>
      <w:r w:rsidRPr="003A6D7B">
        <w:rPr>
          <w:rFonts w:ascii="Times New Roman" w:hAnsi="Times New Roman" w:cs="Times New Roman"/>
          <w:sz w:val="24"/>
          <w:szCs w:val="24"/>
        </w:rPr>
        <w:t xml:space="preserve">na </w:t>
      </w:r>
      <w:r w:rsidR="004B4EBB" w:rsidRPr="003A6D7B">
        <w:rPr>
          <w:rFonts w:ascii="Times New Roman" w:hAnsi="Times New Roman" w:cs="Times New Roman"/>
          <w:sz w:val="24"/>
          <w:szCs w:val="24"/>
        </w:rPr>
        <w:t>priprem</w:t>
      </w:r>
      <w:r w:rsidRPr="003A6D7B">
        <w:rPr>
          <w:rFonts w:ascii="Times New Roman" w:hAnsi="Times New Roman" w:cs="Times New Roman"/>
          <w:sz w:val="24"/>
          <w:szCs w:val="24"/>
        </w:rPr>
        <w:t xml:space="preserve">i </w:t>
      </w:r>
      <w:r w:rsidR="004B4EBB" w:rsidRPr="003A6D7B">
        <w:rPr>
          <w:rFonts w:ascii="Times New Roman" w:hAnsi="Times New Roman" w:cs="Times New Roman"/>
          <w:sz w:val="24"/>
          <w:szCs w:val="24"/>
        </w:rPr>
        <w:t xml:space="preserve"> proizvodnje, ispitivanja i licenciranja RCC-a u </w:t>
      </w:r>
      <w:r w:rsidRPr="003A6D7B">
        <w:rPr>
          <w:rFonts w:ascii="Times New Roman" w:hAnsi="Times New Roman" w:cs="Times New Roman"/>
          <w:sz w:val="24"/>
          <w:szCs w:val="24"/>
        </w:rPr>
        <w:t xml:space="preserve">nekoj od postojećih betonara u </w:t>
      </w:r>
      <w:r w:rsidR="004B4EBB" w:rsidRPr="003A6D7B">
        <w:rPr>
          <w:rFonts w:ascii="Times New Roman" w:hAnsi="Times New Roman" w:cs="Times New Roman"/>
          <w:sz w:val="24"/>
          <w:szCs w:val="24"/>
        </w:rPr>
        <w:t>RH.</w:t>
      </w:r>
      <w:r w:rsidR="002541FA" w:rsidRPr="003A6D7B">
        <w:rPr>
          <w:rFonts w:ascii="Times New Roman" w:hAnsi="Times New Roman" w:cs="Times New Roman"/>
          <w:sz w:val="24"/>
          <w:szCs w:val="24"/>
        </w:rPr>
        <w:t xml:space="preserve"> Za potrebe pripreme preuzimanja 2. faze hrvatske polovice otpada </w:t>
      </w:r>
      <w:r w:rsidR="00BF745F" w:rsidRPr="003A6D7B">
        <w:rPr>
          <w:rFonts w:ascii="Times New Roman" w:hAnsi="Times New Roman" w:cs="Times New Roman"/>
          <w:sz w:val="24"/>
          <w:szCs w:val="24"/>
        </w:rPr>
        <w:t xml:space="preserve">u 2023. </w:t>
      </w:r>
      <w:r w:rsidR="002541FA" w:rsidRPr="003A6D7B">
        <w:rPr>
          <w:rFonts w:ascii="Times New Roman" w:hAnsi="Times New Roman" w:cs="Times New Roman"/>
          <w:sz w:val="24"/>
          <w:szCs w:val="24"/>
        </w:rPr>
        <w:t xml:space="preserve">pokrenuti će se nabava </w:t>
      </w:r>
      <w:r w:rsidR="00BF745F" w:rsidRPr="003A6D7B">
        <w:rPr>
          <w:rFonts w:ascii="Times New Roman" w:hAnsi="Times New Roman" w:cs="Times New Roman"/>
          <w:sz w:val="24"/>
          <w:szCs w:val="24"/>
        </w:rPr>
        <w:t xml:space="preserve">i izrada </w:t>
      </w:r>
      <w:r w:rsidR="002541FA" w:rsidRPr="003A6D7B">
        <w:rPr>
          <w:rFonts w:ascii="Times New Roman" w:hAnsi="Times New Roman" w:cs="Times New Roman"/>
          <w:sz w:val="24"/>
          <w:szCs w:val="24"/>
        </w:rPr>
        <w:t>studije izvodljivosti s analizom radioloških svojstava otpada iz Westinghouse PWR elektrana, što je tip NEK-a.</w:t>
      </w:r>
    </w:p>
    <w:p w14:paraId="5935E82E" w14:textId="04F2809F" w:rsidR="00473EE1" w:rsidRPr="003A6D7B" w:rsidRDefault="00BD5BE1"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Početkom</w:t>
      </w:r>
      <w:r w:rsidR="00473EE1" w:rsidRPr="003A6D7B">
        <w:rPr>
          <w:rFonts w:ascii="Times New Roman" w:hAnsi="Times New Roman" w:cs="Times New Roman"/>
          <w:sz w:val="24"/>
          <w:szCs w:val="24"/>
        </w:rPr>
        <w:t xml:space="preserve"> </w:t>
      </w:r>
      <w:r w:rsidRPr="003A6D7B">
        <w:rPr>
          <w:rFonts w:ascii="Times New Roman" w:hAnsi="Times New Roman" w:cs="Times New Roman"/>
          <w:sz w:val="24"/>
          <w:szCs w:val="24"/>
        </w:rPr>
        <w:t>2023</w:t>
      </w:r>
      <w:r w:rsidR="00473EE1" w:rsidRPr="003A6D7B">
        <w:rPr>
          <w:rFonts w:ascii="Times New Roman" w:hAnsi="Times New Roman" w:cs="Times New Roman"/>
          <w:sz w:val="24"/>
          <w:szCs w:val="24"/>
        </w:rPr>
        <w:t xml:space="preserve">. godine NEK </w:t>
      </w:r>
      <w:r w:rsidRPr="003A6D7B">
        <w:rPr>
          <w:rFonts w:ascii="Times New Roman" w:hAnsi="Times New Roman" w:cs="Times New Roman"/>
          <w:sz w:val="24"/>
          <w:szCs w:val="24"/>
        </w:rPr>
        <w:t>će</w:t>
      </w:r>
      <w:r w:rsidR="00473EE1" w:rsidRPr="003A6D7B">
        <w:rPr>
          <w:rFonts w:ascii="Times New Roman" w:hAnsi="Times New Roman" w:cs="Times New Roman"/>
          <w:sz w:val="24"/>
          <w:szCs w:val="24"/>
        </w:rPr>
        <w:t xml:space="preserve"> pokrenu</w:t>
      </w:r>
      <w:r w:rsidRPr="003A6D7B">
        <w:rPr>
          <w:rFonts w:ascii="Times New Roman" w:hAnsi="Times New Roman" w:cs="Times New Roman"/>
          <w:sz w:val="24"/>
          <w:szCs w:val="24"/>
        </w:rPr>
        <w:t>ti</w:t>
      </w:r>
      <w:r w:rsidR="00473EE1" w:rsidRPr="003A6D7B">
        <w:rPr>
          <w:rFonts w:ascii="Times New Roman" w:hAnsi="Times New Roman" w:cs="Times New Roman"/>
          <w:sz w:val="24"/>
          <w:szCs w:val="24"/>
        </w:rPr>
        <w:t xml:space="preserve"> natječaj za ugovaranje usluge spaljivanja primarnih smola</w:t>
      </w:r>
      <w:r w:rsidR="0039429C" w:rsidRPr="003A6D7B">
        <w:rPr>
          <w:rFonts w:ascii="Times New Roman" w:hAnsi="Times New Roman" w:cs="Times New Roman"/>
          <w:sz w:val="24"/>
          <w:szCs w:val="24"/>
        </w:rPr>
        <w:t xml:space="preserve"> (177 bačava)</w:t>
      </w:r>
      <w:r w:rsidR="00473EE1" w:rsidRPr="003A6D7B">
        <w:rPr>
          <w:rFonts w:ascii="Times New Roman" w:hAnsi="Times New Roman" w:cs="Times New Roman"/>
          <w:sz w:val="24"/>
          <w:szCs w:val="24"/>
        </w:rPr>
        <w:t xml:space="preserve">, koje predstavljaju </w:t>
      </w:r>
      <w:r w:rsidR="00B8306B" w:rsidRPr="003A6D7B">
        <w:rPr>
          <w:rFonts w:ascii="Times New Roman" w:hAnsi="Times New Roman" w:cs="Times New Roman"/>
          <w:sz w:val="24"/>
          <w:szCs w:val="24"/>
        </w:rPr>
        <w:t xml:space="preserve">najveći izazov </w:t>
      </w:r>
      <w:r w:rsidRPr="003A6D7B">
        <w:rPr>
          <w:rFonts w:ascii="Times New Roman" w:hAnsi="Times New Roman" w:cs="Times New Roman"/>
          <w:sz w:val="24"/>
          <w:szCs w:val="24"/>
        </w:rPr>
        <w:t xml:space="preserve">s obzirom na veliku </w:t>
      </w:r>
      <w:r w:rsidR="00597B9F" w:rsidRPr="003A6D7B">
        <w:rPr>
          <w:rFonts w:ascii="Times New Roman" w:hAnsi="Times New Roman" w:cs="Times New Roman"/>
          <w:sz w:val="24"/>
          <w:szCs w:val="24"/>
        </w:rPr>
        <w:t>radioaktivnost</w:t>
      </w:r>
      <w:r w:rsidRPr="003A6D7B">
        <w:rPr>
          <w:rFonts w:ascii="Times New Roman" w:hAnsi="Times New Roman" w:cs="Times New Roman"/>
          <w:sz w:val="24"/>
          <w:szCs w:val="24"/>
        </w:rPr>
        <w:t xml:space="preserve"> te familije otpada</w:t>
      </w:r>
      <w:r w:rsidR="00B8306B" w:rsidRPr="003A6D7B">
        <w:rPr>
          <w:rFonts w:ascii="Times New Roman" w:hAnsi="Times New Roman" w:cs="Times New Roman"/>
          <w:sz w:val="24"/>
          <w:szCs w:val="24"/>
        </w:rPr>
        <w:t>.</w:t>
      </w:r>
      <w:r w:rsidR="0039429C" w:rsidRPr="003A6D7B">
        <w:rPr>
          <w:rFonts w:ascii="Times New Roman" w:hAnsi="Times New Roman" w:cs="Times New Roman"/>
          <w:sz w:val="24"/>
          <w:szCs w:val="24"/>
        </w:rPr>
        <w:t xml:space="preserve"> Planirano je da projekt traje tijekom 2023. i 2024. godine. Ukupna obaveza Fonda je 50% vrijednosti ugovora procijenjenog na 4 mil. €.</w:t>
      </w:r>
      <w:r w:rsidR="00597B9F" w:rsidRPr="003A6D7B">
        <w:rPr>
          <w:rFonts w:ascii="Times New Roman" w:hAnsi="Times New Roman" w:cs="Times New Roman"/>
          <w:sz w:val="24"/>
          <w:szCs w:val="24"/>
        </w:rPr>
        <w:t xml:space="preserve"> ARAO će pokriti preostalu polovicu tog troška.</w:t>
      </w:r>
    </w:p>
    <w:p w14:paraId="602F9998" w14:textId="5D35CA59" w:rsidR="0039429C" w:rsidRPr="003A6D7B" w:rsidRDefault="0039429C" w:rsidP="00F660FA">
      <w:pPr>
        <w:spacing w:line="276" w:lineRule="auto"/>
        <w:rPr>
          <w:rFonts w:ascii="Times New Roman" w:hAnsi="Times New Roman" w:cs="Times New Roman"/>
          <w:sz w:val="24"/>
          <w:szCs w:val="24"/>
        </w:rPr>
      </w:pPr>
      <w:r w:rsidRPr="003A6D7B">
        <w:rPr>
          <w:rFonts w:ascii="Times New Roman" w:hAnsi="Times New Roman" w:cs="Times New Roman"/>
          <w:sz w:val="24"/>
          <w:szCs w:val="24"/>
        </w:rPr>
        <w:t>Sukladno 3. reviziji Programa razgradnje NE Krško, razgradnja starih parogeneratora, uskladištenih u zgradi za dekontaminaciju NE Krško planirana je tijekom razgradnje postrojenja (2044. godine)</w:t>
      </w:r>
      <w:r w:rsidR="00A93855" w:rsidRPr="003A6D7B">
        <w:rPr>
          <w:rFonts w:ascii="Times New Roman" w:hAnsi="Times New Roman" w:cs="Times New Roman"/>
          <w:sz w:val="24"/>
          <w:szCs w:val="24"/>
        </w:rPr>
        <w:t>.</w:t>
      </w:r>
      <w:r w:rsidRPr="003A6D7B">
        <w:rPr>
          <w:rFonts w:ascii="Times New Roman" w:hAnsi="Times New Roman" w:cs="Times New Roman"/>
          <w:sz w:val="24"/>
          <w:szCs w:val="24"/>
        </w:rPr>
        <w:t xml:space="preserve"> Kako bi se oslobodio dodatni prostor za privremeno skladištenje skladišno-odlagališnih kontejnera (N2d i RCC), NE Krško je pokrenulo projekt ranije razgradnje starih parogeneratora. Predloženi način zbrinjavanja je rezanje, dekontaminacija i taljenje</w:t>
      </w:r>
      <w:r w:rsidR="00A24722"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Procijenjeni trošak za Fond podijeljen je po godinama: 5% iznosa za izradu studije u 2023. godini, 15% iznosa za odvoz parogeneratora u 2024. te preostalo nakon kondicioniranja u 2027. godini. </w:t>
      </w:r>
    </w:p>
    <w:p w14:paraId="3874B122" w14:textId="77777777" w:rsidR="00205C1A" w:rsidRPr="003A6D7B" w:rsidRDefault="00205C1A" w:rsidP="00A24722">
      <w:pPr>
        <w:spacing w:line="276" w:lineRule="auto"/>
        <w:rPr>
          <w:rFonts w:ascii="Times New Roman" w:hAnsi="Times New Roman" w:cs="Times New Roman"/>
        </w:rPr>
      </w:pPr>
    </w:p>
    <w:p w14:paraId="211445C3" w14:textId="6F61A5EA" w:rsidR="003A23D6" w:rsidRPr="003A6D7B" w:rsidRDefault="003A23D6" w:rsidP="00902811">
      <w:pPr>
        <w:pStyle w:val="Heading2"/>
        <w:spacing w:line="276" w:lineRule="auto"/>
        <w:rPr>
          <w:rFonts w:ascii="Times New Roman" w:hAnsi="Times New Roman" w:cs="Times New Roman"/>
        </w:rPr>
      </w:pPr>
      <w:bookmarkStart w:id="57" w:name="_Toc120310891"/>
      <w:bookmarkStart w:id="58" w:name="_Toc120870600"/>
      <w:bookmarkStart w:id="59" w:name="_Toc130809356"/>
      <w:bookmarkEnd w:id="57"/>
      <w:bookmarkEnd w:id="58"/>
      <w:r w:rsidRPr="003A6D7B">
        <w:rPr>
          <w:rFonts w:ascii="Times New Roman" w:hAnsi="Times New Roman" w:cs="Times New Roman"/>
        </w:rPr>
        <w:t>Edukacija i razvoj ljudskih potencijala</w:t>
      </w:r>
      <w:bookmarkEnd w:id="51"/>
      <w:bookmarkEnd w:id="52"/>
      <w:bookmarkEnd w:id="53"/>
      <w:bookmarkEnd w:id="59"/>
    </w:p>
    <w:p w14:paraId="21C51DFD" w14:textId="7D03CF6D"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Fond u </w:t>
      </w:r>
      <w:r w:rsidR="00205C1A" w:rsidRPr="003A6D7B">
        <w:rPr>
          <w:rFonts w:ascii="Times New Roman" w:hAnsi="Times New Roman" w:cs="Times New Roman"/>
          <w:sz w:val="24"/>
          <w:szCs w:val="24"/>
        </w:rPr>
        <w:t>2023</w:t>
      </w:r>
      <w:r w:rsidRPr="003A6D7B">
        <w:rPr>
          <w:rFonts w:ascii="Times New Roman" w:hAnsi="Times New Roman" w:cs="Times New Roman"/>
          <w:sz w:val="24"/>
          <w:szCs w:val="24"/>
        </w:rPr>
        <w:t xml:space="preserve">. godini planira nastaviti s aktivnostima edukacije i usavršavanja djelatnika </w:t>
      </w:r>
      <w:r w:rsidR="00F5299B" w:rsidRPr="003A6D7B">
        <w:rPr>
          <w:rFonts w:ascii="Times New Roman" w:hAnsi="Times New Roman" w:cs="Times New Roman"/>
          <w:sz w:val="24"/>
          <w:szCs w:val="24"/>
        </w:rPr>
        <w:t>F</w:t>
      </w:r>
      <w:r w:rsidR="008472BC" w:rsidRPr="003A6D7B">
        <w:rPr>
          <w:rFonts w:ascii="Times New Roman" w:hAnsi="Times New Roman" w:cs="Times New Roman"/>
          <w:sz w:val="24"/>
          <w:szCs w:val="24"/>
        </w:rPr>
        <w:t>o</w:t>
      </w:r>
      <w:r w:rsidR="00F5299B" w:rsidRPr="003A6D7B">
        <w:rPr>
          <w:rFonts w:ascii="Times New Roman" w:hAnsi="Times New Roman" w:cs="Times New Roman"/>
          <w:sz w:val="24"/>
          <w:szCs w:val="24"/>
        </w:rPr>
        <w:t>nda</w:t>
      </w:r>
      <w:r w:rsidRPr="003A6D7B">
        <w:rPr>
          <w:rFonts w:ascii="Times New Roman" w:hAnsi="Times New Roman" w:cs="Times New Roman"/>
          <w:sz w:val="24"/>
          <w:szCs w:val="24"/>
        </w:rPr>
        <w:t xml:space="preserve"> u okviru nacionalnih i regionalnih projekata tehničke pomoći IAEA-e, projekata i sastanaka radnih tijela Europske komisije, projekata ERDO, NEA-RINA te ostalih projekata, konferencija, foruma i edukacija na temu razgradnje i zbrinjavanja RAO-a i ING-a. Osim navedenoga, Fond će kontinuirano pratiti domaći i međunarodni okvir za zbrinjavanje RAO-a, II-a i ING-a, domaće i međunarodne standarde, </w:t>
      </w:r>
      <w:r w:rsidRPr="003A6D7B">
        <w:rPr>
          <w:rFonts w:ascii="Times New Roman" w:hAnsi="Times New Roman" w:cs="Times New Roman"/>
          <w:sz w:val="24"/>
          <w:szCs w:val="24"/>
        </w:rPr>
        <w:lastRenderedPageBreak/>
        <w:t xml:space="preserve">smjernice te najbolja svjetska iskustva na </w:t>
      </w:r>
      <w:r w:rsidR="00F5299B" w:rsidRPr="003A6D7B">
        <w:rPr>
          <w:rFonts w:ascii="Times New Roman" w:hAnsi="Times New Roman" w:cs="Times New Roman"/>
          <w:sz w:val="24"/>
          <w:szCs w:val="24"/>
        </w:rPr>
        <w:t>tom</w:t>
      </w:r>
      <w:r w:rsidRPr="003A6D7B">
        <w:rPr>
          <w:rFonts w:ascii="Times New Roman" w:hAnsi="Times New Roman" w:cs="Times New Roman"/>
          <w:sz w:val="24"/>
          <w:szCs w:val="24"/>
        </w:rPr>
        <w:t xml:space="preserve"> području, a sve u cilju podizanja kvalitete rada naših stručnjaka na području zbrinjavanja RAO-a i ING-a iz NE Krško te naslijeđenog RAO-a i II-a. </w:t>
      </w:r>
    </w:p>
    <w:p w14:paraId="4DE06396" w14:textId="3C95A5AB" w:rsidR="00A061E9" w:rsidRPr="003A6D7B" w:rsidRDefault="00D87060"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U </w:t>
      </w:r>
      <w:r w:rsidR="00205C1A" w:rsidRPr="003A6D7B">
        <w:rPr>
          <w:rFonts w:ascii="Times New Roman" w:hAnsi="Times New Roman" w:cs="Times New Roman"/>
          <w:sz w:val="24"/>
          <w:szCs w:val="24"/>
        </w:rPr>
        <w:t>2023</w:t>
      </w:r>
      <w:r w:rsidRPr="003A6D7B">
        <w:rPr>
          <w:rFonts w:ascii="Times New Roman" w:hAnsi="Times New Roman" w:cs="Times New Roman"/>
          <w:sz w:val="24"/>
          <w:szCs w:val="24"/>
        </w:rPr>
        <w:t xml:space="preserve">. godini </w:t>
      </w:r>
      <w:r w:rsidR="00585BFD" w:rsidRPr="003A6D7B">
        <w:rPr>
          <w:rFonts w:ascii="Times New Roman" w:hAnsi="Times New Roman" w:cs="Times New Roman"/>
          <w:sz w:val="24"/>
          <w:szCs w:val="24"/>
        </w:rPr>
        <w:t>s</w:t>
      </w:r>
      <w:r w:rsidR="002E4F34" w:rsidRPr="003A6D7B">
        <w:rPr>
          <w:rFonts w:ascii="Times New Roman" w:hAnsi="Times New Roman" w:cs="Times New Roman"/>
          <w:sz w:val="24"/>
          <w:szCs w:val="24"/>
        </w:rPr>
        <w:t>e</w:t>
      </w:r>
      <w:r w:rsidR="00585BFD" w:rsidRPr="003A6D7B">
        <w:rPr>
          <w:rFonts w:ascii="Times New Roman" w:hAnsi="Times New Roman" w:cs="Times New Roman"/>
          <w:sz w:val="24"/>
          <w:szCs w:val="24"/>
        </w:rPr>
        <w:t xml:space="preserve"> u suradnji s Ravnateljstvom civilne zaštite MUP-a </w:t>
      </w:r>
      <w:r w:rsidRPr="003A6D7B">
        <w:rPr>
          <w:rFonts w:ascii="Times New Roman" w:hAnsi="Times New Roman" w:cs="Times New Roman"/>
          <w:sz w:val="24"/>
          <w:szCs w:val="24"/>
        </w:rPr>
        <w:t xml:space="preserve">planira </w:t>
      </w:r>
      <w:r w:rsidR="00205C1A" w:rsidRPr="003A6D7B">
        <w:rPr>
          <w:rFonts w:ascii="Times New Roman" w:hAnsi="Times New Roman" w:cs="Times New Roman"/>
          <w:sz w:val="24"/>
          <w:szCs w:val="24"/>
        </w:rPr>
        <w:t xml:space="preserve">nastavak </w:t>
      </w:r>
      <w:r w:rsidRPr="003A6D7B">
        <w:rPr>
          <w:rFonts w:ascii="Times New Roman" w:hAnsi="Times New Roman" w:cs="Times New Roman"/>
          <w:sz w:val="24"/>
          <w:szCs w:val="24"/>
        </w:rPr>
        <w:t>priprema</w:t>
      </w:r>
      <w:r w:rsidR="00205C1A" w:rsidRPr="003A6D7B">
        <w:rPr>
          <w:rFonts w:ascii="Times New Roman" w:hAnsi="Times New Roman" w:cs="Times New Roman"/>
          <w:sz w:val="24"/>
          <w:szCs w:val="24"/>
        </w:rPr>
        <w:t xml:space="preserve"> </w:t>
      </w:r>
      <w:r w:rsidR="00A061E9" w:rsidRPr="003A6D7B">
        <w:rPr>
          <w:rFonts w:ascii="Times New Roman" w:hAnsi="Times New Roman" w:cs="Times New Roman"/>
          <w:sz w:val="24"/>
          <w:szCs w:val="24"/>
        </w:rPr>
        <w:t xml:space="preserve">podloga i referentnih materijala te ispunjavanje </w:t>
      </w:r>
      <w:r w:rsidRPr="003A6D7B">
        <w:rPr>
          <w:rFonts w:ascii="Times New Roman" w:hAnsi="Times New Roman" w:cs="Times New Roman"/>
          <w:sz w:val="24"/>
          <w:szCs w:val="24"/>
        </w:rPr>
        <w:t xml:space="preserve">upitnika </w:t>
      </w:r>
      <w:r w:rsidR="00A061E9" w:rsidRPr="003A6D7B">
        <w:rPr>
          <w:rFonts w:ascii="Times New Roman" w:hAnsi="Times New Roman" w:cs="Times New Roman"/>
          <w:sz w:val="24"/>
          <w:szCs w:val="24"/>
        </w:rPr>
        <w:t>o samoprocjeni</w:t>
      </w:r>
      <w:r w:rsidRPr="003A6D7B">
        <w:rPr>
          <w:rFonts w:ascii="Times New Roman" w:hAnsi="Times New Roman" w:cs="Times New Roman"/>
          <w:sz w:val="24"/>
          <w:szCs w:val="24"/>
        </w:rPr>
        <w:t>, definiranje</w:t>
      </w:r>
      <w:r w:rsidR="00A061E9" w:rsidRPr="003A6D7B">
        <w:rPr>
          <w:rFonts w:ascii="Times New Roman" w:hAnsi="Times New Roman" w:cs="Times New Roman"/>
          <w:sz w:val="24"/>
          <w:szCs w:val="24"/>
        </w:rPr>
        <w:t xml:space="preserve"> tema i detalja koje će se raspraviti na pripremnom sastanku i izrad</w:t>
      </w:r>
      <w:r w:rsidR="002E4F34" w:rsidRPr="003A6D7B">
        <w:rPr>
          <w:rFonts w:ascii="Times New Roman" w:hAnsi="Times New Roman" w:cs="Times New Roman"/>
          <w:sz w:val="24"/>
          <w:szCs w:val="24"/>
        </w:rPr>
        <w:t>a</w:t>
      </w:r>
      <w:r w:rsidR="00A061E9" w:rsidRPr="003A6D7B">
        <w:rPr>
          <w:rFonts w:ascii="Times New Roman" w:hAnsi="Times New Roman" w:cs="Times New Roman"/>
          <w:sz w:val="24"/>
          <w:szCs w:val="24"/>
        </w:rPr>
        <w:t xml:space="preserve"> ToR-a za </w:t>
      </w:r>
      <w:r w:rsidR="002E4F34" w:rsidRPr="003A6D7B">
        <w:rPr>
          <w:rFonts w:ascii="Times New Roman" w:hAnsi="Times New Roman" w:cs="Times New Roman"/>
          <w:sz w:val="24"/>
          <w:szCs w:val="24"/>
        </w:rPr>
        <w:t xml:space="preserve">planiranu </w:t>
      </w:r>
      <w:r w:rsidR="00205C1A" w:rsidRPr="003A6D7B">
        <w:rPr>
          <w:rFonts w:ascii="Times New Roman" w:hAnsi="Times New Roman" w:cs="Times New Roman"/>
          <w:sz w:val="24"/>
          <w:szCs w:val="24"/>
        </w:rPr>
        <w:t xml:space="preserve">IAEA </w:t>
      </w:r>
      <w:r w:rsidR="002E4F34" w:rsidRPr="003A6D7B">
        <w:rPr>
          <w:rFonts w:ascii="Times New Roman" w:hAnsi="Times New Roman" w:cs="Times New Roman"/>
          <w:sz w:val="24"/>
          <w:szCs w:val="24"/>
        </w:rPr>
        <w:t xml:space="preserve">ARTEMIS </w:t>
      </w:r>
      <w:r w:rsidR="00A061E9" w:rsidRPr="003A6D7B">
        <w:rPr>
          <w:rFonts w:ascii="Times New Roman" w:hAnsi="Times New Roman" w:cs="Times New Roman"/>
          <w:sz w:val="24"/>
          <w:szCs w:val="24"/>
        </w:rPr>
        <w:t>misiju.</w:t>
      </w:r>
      <w:r w:rsidRPr="003A6D7B">
        <w:rPr>
          <w:rFonts w:ascii="Times New Roman" w:hAnsi="Times New Roman" w:cs="Times New Roman"/>
          <w:sz w:val="24"/>
          <w:szCs w:val="24"/>
        </w:rPr>
        <w:t xml:space="preserve"> </w:t>
      </w:r>
    </w:p>
    <w:p w14:paraId="221C25B7" w14:textId="613C2AA3"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U okviru Okvirnog programa tehničke suradnje s IAEA-om (C</w:t>
      </w:r>
      <w:r w:rsidR="0053612E" w:rsidRPr="003A6D7B">
        <w:rPr>
          <w:rFonts w:ascii="Times New Roman" w:hAnsi="Times New Roman" w:cs="Times New Roman"/>
          <w:sz w:val="24"/>
          <w:szCs w:val="24"/>
        </w:rPr>
        <w:t>FP</w:t>
      </w:r>
      <w:r w:rsidRPr="003A6D7B">
        <w:rPr>
          <w:rFonts w:ascii="Times New Roman" w:hAnsi="Times New Roman" w:cs="Times New Roman"/>
          <w:sz w:val="24"/>
          <w:szCs w:val="24"/>
        </w:rPr>
        <w:t xml:space="preserve">) za razdoblje 2020. - 2025. godine Fond </w:t>
      </w:r>
      <w:r w:rsidR="0053612E" w:rsidRPr="003A6D7B">
        <w:rPr>
          <w:rFonts w:ascii="Times New Roman" w:hAnsi="Times New Roman" w:cs="Times New Roman"/>
          <w:sz w:val="24"/>
          <w:szCs w:val="24"/>
        </w:rPr>
        <w:t xml:space="preserve">planira </w:t>
      </w:r>
      <w:r w:rsidRPr="003A6D7B">
        <w:rPr>
          <w:rFonts w:ascii="Times New Roman" w:hAnsi="Times New Roman" w:cs="Times New Roman"/>
          <w:sz w:val="24"/>
          <w:szCs w:val="24"/>
        </w:rPr>
        <w:t xml:space="preserve">predložiti novi projekt tehničke suradnje vezano uz zbrinjavanje iskorištenih izvora ionizirajućeg zračenja.  </w:t>
      </w:r>
    </w:p>
    <w:p w14:paraId="2CDF96CD" w14:textId="5F8ED72D"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Fond će i dalje nastaviti s uspješnom praksom partnerskih (mentorskih) odnosa s agencijama odgovornim za razgradnju i zbrinjavanje RAO i ING u europskim zemljama s razvijenim sustavima upravljanja s RA</w:t>
      </w:r>
      <w:r w:rsidR="00A24722" w:rsidRPr="003A6D7B">
        <w:rPr>
          <w:rFonts w:ascii="Times New Roman" w:hAnsi="Times New Roman" w:cs="Times New Roman"/>
          <w:sz w:val="24"/>
          <w:szCs w:val="24"/>
        </w:rPr>
        <w:t>O.</w:t>
      </w:r>
    </w:p>
    <w:p w14:paraId="18A90E97" w14:textId="6125B431"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Fond u </w:t>
      </w:r>
      <w:r w:rsidR="00205C1A" w:rsidRPr="003A6D7B">
        <w:rPr>
          <w:rFonts w:ascii="Times New Roman" w:hAnsi="Times New Roman" w:cs="Times New Roman"/>
          <w:sz w:val="24"/>
          <w:szCs w:val="24"/>
        </w:rPr>
        <w:t>2023</w:t>
      </w:r>
      <w:r w:rsidRPr="003A6D7B">
        <w:rPr>
          <w:rFonts w:ascii="Times New Roman" w:hAnsi="Times New Roman" w:cs="Times New Roman"/>
          <w:sz w:val="24"/>
          <w:szCs w:val="24"/>
        </w:rPr>
        <w:t xml:space="preserve">. godini planira sudjelovati u radu radnih grupa IAEA-e, EK-a i </w:t>
      </w:r>
      <w:r w:rsidR="007D6C4F" w:rsidRPr="003A6D7B">
        <w:rPr>
          <w:rFonts w:ascii="Times New Roman" w:hAnsi="Times New Roman" w:cs="Times New Roman"/>
          <w:sz w:val="24"/>
          <w:szCs w:val="24"/>
        </w:rPr>
        <w:t>NEA</w:t>
      </w:r>
      <w:r w:rsidRPr="003A6D7B">
        <w:rPr>
          <w:rFonts w:ascii="Times New Roman" w:hAnsi="Times New Roman" w:cs="Times New Roman"/>
          <w:sz w:val="24"/>
          <w:szCs w:val="24"/>
          <w:lang w:val="en-GB"/>
        </w:rPr>
        <w:t xml:space="preserve">: IDN (International Decommissioning Network), DISPONET (International Low Level Waste Disposal Network), </w:t>
      </w:r>
      <w:r w:rsidR="007D6C4F" w:rsidRPr="003A6D7B">
        <w:rPr>
          <w:rFonts w:ascii="Times New Roman" w:hAnsi="Times New Roman" w:cs="Times New Roman"/>
          <w:sz w:val="24"/>
          <w:szCs w:val="24"/>
          <w:lang w:val="en-GB"/>
        </w:rPr>
        <w:t>EURAD (European Joint Programme on Radioactive Waste Management)</w:t>
      </w:r>
      <w:r w:rsidRPr="003A6D7B">
        <w:rPr>
          <w:rFonts w:ascii="Times New Roman" w:hAnsi="Times New Roman" w:cs="Times New Roman"/>
          <w:sz w:val="24"/>
          <w:szCs w:val="24"/>
          <w:lang w:val="en-GB"/>
        </w:rPr>
        <w:t>, ENSREG (European Nuclear Safety Regulators Group), NDAPC (Nuclear Decommissioning Assistance Programme Committee),</w:t>
      </w:r>
      <w:r w:rsidR="00497EFA" w:rsidRPr="003A6D7B">
        <w:rPr>
          <w:rFonts w:ascii="Times New Roman" w:hAnsi="Times New Roman" w:cs="Times New Roman"/>
          <w:sz w:val="24"/>
          <w:szCs w:val="24"/>
          <w:lang w:val="en-GB"/>
        </w:rPr>
        <w:t xml:space="preserve"> Nuclear Back-End Financial Aspects expert group (NuFaBa)</w:t>
      </w:r>
      <w:r w:rsidRPr="003A6D7B">
        <w:rPr>
          <w:rFonts w:ascii="Times New Roman" w:hAnsi="Times New Roman" w:cs="Times New Roman"/>
          <w:sz w:val="24"/>
          <w:szCs w:val="24"/>
          <w:lang w:val="en-GB"/>
        </w:rPr>
        <w:t xml:space="preserve">, </w:t>
      </w:r>
      <w:r w:rsidR="00497EFA" w:rsidRPr="003A6D7B">
        <w:rPr>
          <w:rFonts w:ascii="Times New Roman" w:hAnsi="Times New Roman" w:cs="Times New Roman"/>
          <w:sz w:val="24"/>
          <w:szCs w:val="24"/>
          <w:lang w:val="en-GB"/>
        </w:rPr>
        <w:t>RINA (</w:t>
      </w:r>
      <w:r w:rsidRPr="003A6D7B">
        <w:rPr>
          <w:rFonts w:ascii="Times New Roman" w:hAnsi="Times New Roman" w:cs="Times New Roman"/>
          <w:sz w:val="24"/>
          <w:szCs w:val="24"/>
          <w:lang w:val="en-GB"/>
        </w:rPr>
        <w:t>Regional Initiative for Nuclear Advancement),</w:t>
      </w:r>
      <w:r w:rsidRPr="003A6D7B">
        <w:rPr>
          <w:rFonts w:ascii="Times New Roman" w:hAnsi="Times New Roman" w:cs="Times New Roman"/>
          <w:sz w:val="24"/>
          <w:szCs w:val="24"/>
        </w:rPr>
        <w:t xml:space="preserve"> </w:t>
      </w:r>
      <w:r w:rsidR="007D6C4F" w:rsidRPr="003A6D7B">
        <w:rPr>
          <w:rFonts w:ascii="Times New Roman" w:hAnsi="Times New Roman" w:cs="Times New Roman"/>
          <w:sz w:val="24"/>
          <w:szCs w:val="24"/>
        </w:rPr>
        <w:t xml:space="preserve">te sastancima, webinarima i projektima </w:t>
      </w:r>
      <w:r w:rsidR="007D6C4F" w:rsidRPr="003A6D7B">
        <w:rPr>
          <w:rFonts w:ascii="Times New Roman" w:hAnsi="Times New Roman" w:cs="Times New Roman"/>
          <w:sz w:val="24"/>
          <w:szCs w:val="24"/>
          <w:lang w:val="en-GB"/>
        </w:rPr>
        <w:t>ERDO udruge (European Repository Development Organisation)</w:t>
      </w:r>
      <w:r w:rsidRPr="003A6D7B">
        <w:rPr>
          <w:rFonts w:ascii="Times New Roman" w:hAnsi="Times New Roman" w:cs="Times New Roman"/>
          <w:sz w:val="24"/>
          <w:szCs w:val="24"/>
        </w:rPr>
        <w:t>.</w:t>
      </w:r>
    </w:p>
    <w:p w14:paraId="3FD60089" w14:textId="77777777" w:rsidR="00902811" w:rsidRPr="003A6D7B" w:rsidRDefault="00902811" w:rsidP="00902811">
      <w:pPr>
        <w:spacing w:line="276" w:lineRule="auto"/>
        <w:rPr>
          <w:rFonts w:ascii="Times New Roman" w:hAnsi="Times New Roman" w:cs="Times New Roman"/>
        </w:rPr>
      </w:pPr>
      <w:bookmarkStart w:id="60" w:name="_Toc413945185"/>
      <w:bookmarkStart w:id="61" w:name="_Toc436289111"/>
      <w:bookmarkStart w:id="62" w:name="_Toc466982869"/>
      <w:bookmarkStart w:id="63" w:name="_Toc531182950"/>
      <w:bookmarkStart w:id="64" w:name="_Toc26742731"/>
      <w:bookmarkStart w:id="65" w:name="_Toc58937048"/>
      <w:bookmarkStart w:id="66" w:name="_Toc59178437"/>
      <w:bookmarkStart w:id="67" w:name="_Toc62050187"/>
    </w:p>
    <w:p w14:paraId="56F9E833" w14:textId="40DDA233" w:rsidR="003A23D6" w:rsidRPr="003A6D7B" w:rsidRDefault="003A23D6" w:rsidP="00BC46B2">
      <w:pPr>
        <w:pStyle w:val="Heading2"/>
        <w:rPr>
          <w:rFonts w:ascii="Times New Roman" w:hAnsi="Times New Roman" w:cs="Times New Roman"/>
        </w:rPr>
      </w:pPr>
      <w:bookmarkStart w:id="68" w:name="_Toc130809357"/>
      <w:r w:rsidRPr="003A6D7B">
        <w:rPr>
          <w:rFonts w:ascii="Times New Roman" w:hAnsi="Times New Roman" w:cs="Times New Roman"/>
        </w:rPr>
        <w:t>Odnosi s javnošću</w:t>
      </w:r>
      <w:bookmarkEnd w:id="60"/>
      <w:bookmarkEnd w:id="61"/>
      <w:bookmarkEnd w:id="62"/>
      <w:bookmarkEnd w:id="63"/>
      <w:bookmarkEnd w:id="64"/>
      <w:bookmarkEnd w:id="65"/>
      <w:bookmarkEnd w:id="66"/>
      <w:bookmarkEnd w:id="67"/>
      <w:bookmarkEnd w:id="68"/>
    </w:p>
    <w:p w14:paraId="43A7C598" w14:textId="6C5C2E92" w:rsidR="00E92266" w:rsidRPr="003A6D7B" w:rsidRDefault="003A23D6" w:rsidP="00902811">
      <w:pPr>
        <w:spacing w:line="276" w:lineRule="auto"/>
        <w:rPr>
          <w:rFonts w:ascii="Times New Roman" w:eastAsia="Calibri" w:hAnsi="Times New Roman" w:cs="Times New Roman"/>
          <w:sz w:val="24"/>
          <w:szCs w:val="24"/>
        </w:rPr>
      </w:pPr>
      <w:r w:rsidRPr="003A6D7B">
        <w:rPr>
          <w:rFonts w:ascii="Times New Roman" w:eastAsia="Calibri" w:hAnsi="Times New Roman" w:cs="Times New Roman"/>
          <w:sz w:val="24"/>
          <w:szCs w:val="24"/>
        </w:rPr>
        <w:t>Planirane aktivnosti odnosa s javnošću proizlaze iz smjernica propisanih Nacionalnim programom te zaključaka i mjera prepoznatih Strateškom studijom utjecaja na okoliš Nacionalnog programa. Usmjerene su ka dostupnosti informacija, edukaciji javnosti te uključivanju javnosti u sudjelovanje u aktivnostima koje se odnose na organizaciju i provedbu obveza zbrinjavanja radioaktivnog otpada u Republici Hrvatskoj. Cilj Fonda je pružiti priliku aktivnog sudjelovanja lokalnim zajednicama, lokalnim udrugama i općoj javnosti, nastaviti uključivati stručnjake neophodne za ostvarivanje planiranih aktivnosti, te omogućiti javnosti pravovremeno informiranje, sudjelovanje, otvoreni dijalog i iskazivanje mišljenja tijekom provođenja navedenih aktivnosti.</w:t>
      </w:r>
    </w:p>
    <w:p w14:paraId="099F5450" w14:textId="609CFDB4" w:rsidR="00C90ECC" w:rsidRPr="003A6D7B" w:rsidRDefault="003A23D6" w:rsidP="00C90ECC">
      <w:pPr>
        <w:pStyle w:val="Heading3"/>
        <w:spacing w:after="120" w:line="276" w:lineRule="auto"/>
        <w:rPr>
          <w:rFonts w:ascii="Times New Roman" w:hAnsi="Times New Roman" w:cs="Times New Roman"/>
          <w:sz w:val="28"/>
          <w:szCs w:val="28"/>
        </w:rPr>
      </w:pPr>
      <w:bookmarkStart w:id="69" w:name="_Toc58937049"/>
      <w:bookmarkStart w:id="70" w:name="_Toc59178438"/>
      <w:bookmarkStart w:id="71" w:name="_Toc62050188"/>
      <w:bookmarkStart w:id="72" w:name="_Toc130809358"/>
      <w:r w:rsidRPr="003A6D7B">
        <w:rPr>
          <w:rFonts w:ascii="Times New Roman" w:hAnsi="Times New Roman" w:cs="Times New Roman"/>
          <w:sz w:val="28"/>
          <w:szCs w:val="28"/>
        </w:rPr>
        <w:lastRenderedPageBreak/>
        <w:t>Socijalno-gospodarski aspekti razvoja lokalne zajednice</w:t>
      </w:r>
      <w:bookmarkEnd w:id="69"/>
      <w:bookmarkEnd w:id="70"/>
      <w:bookmarkEnd w:id="71"/>
      <w:bookmarkEnd w:id="72"/>
    </w:p>
    <w:p w14:paraId="3F0ACC38" w14:textId="0AC392ED" w:rsidR="003A23D6" w:rsidRPr="003A6D7B" w:rsidRDefault="003A23D6" w:rsidP="00902811">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 xml:space="preserve">Razvojni aspekt projekta uspostave Centra za zbrinjavanje radioaktivnog otpada odnosi se na poboljšanja životnih uvjeta i otvaranje mogućnosti za daljnji gospodarski razvitak područja na kojem je Centar uspostavljen. Kako bi se izradile smjernice za ostvarivanje napretka i postigla maksimalna iskoristivost financijske podrške lokalnoj zajednici, Fond </w:t>
      </w:r>
      <w:r w:rsidR="00C90ECC" w:rsidRPr="003A6D7B">
        <w:rPr>
          <w:rFonts w:ascii="Times New Roman" w:eastAsia="Calibri" w:hAnsi="Times New Roman" w:cs="Times New Roman"/>
          <w:sz w:val="24"/>
          <w:szCs w:val="24"/>
        </w:rPr>
        <w:t xml:space="preserve">i u 2023. </w:t>
      </w:r>
      <w:r w:rsidRPr="003A6D7B">
        <w:rPr>
          <w:rFonts w:ascii="Times New Roman" w:eastAsia="Calibri" w:hAnsi="Times New Roman" w:cs="Times New Roman"/>
          <w:sz w:val="24"/>
          <w:szCs w:val="24"/>
        </w:rPr>
        <w:t>nastavlja dio svojih aktivnosti usmjeravati u pripremu i izradu analiza trenutnog stanja lokalne zajednice iz socijalnog i gospodarskog aspekta.</w:t>
      </w:r>
    </w:p>
    <w:p w14:paraId="1C495C82" w14:textId="229572E5" w:rsidR="003A23D6" w:rsidRPr="003A6D7B" w:rsidRDefault="003A23D6" w:rsidP="00902811">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 xml:space="preserve">U skladu s opredjeljenjem Općine Dvor za poljoprivredu kao održivi smjer razvitka, omogućen prirodnim uvjetima i dugom tradicijom poljoprivrede na </w:t>
      </w:r>
      <w:r w:rsidRPr="003A6D7B">
        <w:rPr>
          <w:rFonts w:ascii="Times New Roman" w:hAnsi="Times New Roman" w:cs="Times New Roman"/>
          <w:sz w:val="24"/>
          <w:szCs w:val="24"/>
        </w:rPr>
        <w:t>tom</w:t>
      </w:r>
      <w:r w:rsidRPr="003A6D7B">
        <w:rPr>
          <w:rFonts w:ascii="Times New Roman" w:eastAsia="Calibri" w:hAnsi="Times New Roman" w:cs="Times New Roman"/>
          <w:sz w:val="24"/>
          <w:szCs w:val="24"/>
        </w:rPr>
        <w:t xml:space="preserve"> prostoru, napose na području stočarstva, </w:t>
      </w:r>
      <w:r w:rsidRPr="003A6D7B">
        <w:rPr>
          <w:rFonts w:ascii="Times New Roman" w:hAnsi="Times New Roman" w:cs="Times New Roman"/>
          <w:sz w:val="24"/>
          <w:szCs w:val="24"/>
        </w:rPr>
        <w:t>Fond</w:t>
      </w:r>
      <w:r w:rsidRPr="003A6D7B">
        <w:rPr>
          <w:rFonts w:ascii="Times New Roman" w:eastAsia="Calibri" w:hAnsi="Times New Roman" w:cs="Times New Roman"/>
          <w:sz w:val="24"/>
          <w:szCs w:val="24"/>
        </w:rPr>
        <w:t xml:space="preserve"> je </w:t>
      </w:r>
      <w:r w:rsidRPr="003A6D7B">
        <w:rPr>
          <w:rFonts w:ascii="Times New Roman" w:hAnsi="Times New Roman" w:cs="Times New Roman"/>
          <w:sz w:val="24"/>
          <w:szCs w:val="24"/>
        </w:rPr>
        <w:t>izradio „Analizu</w:t>
      </w:r>
      <w:r w:rsidRPr="003A6D7B">
        <w:rPr>
          <w:rFonts w:ascii="Times New Roman" w:eastAsia="Calibri" w:hAnsi="Times New Roman" w:cs="Times New Roman"/>
          <w:sz w:val="24"/>
          <w:szCs w:val="24"/>
        </w:rPr>
        <w:t xml:space="preserve"> trenutnog stanja poljoprivrede i šumarstva na istraživanom prostoru Općine Dvor kao podloge za izradu Agroekološke studije“. Analiza je zacrtala smjernice za investicije za potrebe razvitka poljoprivrede, te predložila prioritete. Slijedom izrađene analize, </w:t>
      </w:r>
      <w:r w:rsidR="00C90ECC" w:rsidRPr="003A6D7B">
        <w:rPr>
          <w:rFonts w:ascii="Times New Roman" w:eastAsia="Calibri" w:hAnsi="Times New Roman" w:cs="Times New Roman"/>
          <w:sz w:val="24"/>
          <w:szCs w:val="24"/>
        </w:rPr>
        <w:t xml:space="preserve">pokrenuta je </w:t>
      </w:r>
      <w:r w:rsidRPr="003A6D7B">
        <w:rPr>
          <w:rFonts w:ascii="Times New Roman" w:eastAsia="Calibri" w:hAnsi="Times New Roman" w:cs="Times New Roman"/>
          <w:sz w:val="24"/>
          <w:szCs w:val="24"/>
        </w:rPr>
        <w:t>izrada Agroekološke studije s popratnim prezentacijama i tematskim radionicama za lokalno stanovništvo u skladu sa zaključcima studije.</w:t>
      </w:r>
      <w:r w:rsidR="00C90ECC" w:rsidRPr="003A6D7B">
        <w:rPr>
          <w:rFonts w:ascii="Times New Roman" w:eastAsia="Calibri" w:hAnsi="Times New Roman" w:cs="Times New Roman"/>
          <w:sz w:val="24"/>
          <w:szCs w:val="24"/>
        </w:rPr>
        <w:t xml:space="preserve"> Ista će biti dovršena 2023. godine</w:t>
      </w:r>
      <w:r w:rsidR="0001496A" w:rsidRPr="003A6D7B">
        <w:rPr>
          <w:rFonts w:ascii="Times New Roman" w:eastAsia="Calibri" w:hAnsi="Times New Roman" w:cs="Times New Roman"/>
          <w:sz w:val="24"/>
          <w:szCs w:val="24"/>
        </w:rPr>
        <w:t xml:space="preserve">. </w:t>
      </w:r>
    </w:p>
    <w:p w14:paraId="107C2EB5" w14:textId="097A1375" w:rsidR="00E92266" w:rsidRPr="003A6D7B" w:rsidRDefault="00A24722" w:rsidP="00A24722">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 xml:space="preserve">Nastaviti će </w:t>
      </w:r>
      <w:r w:rsidR="005A7BFE" w:rsidRPr="003A6D7B">
        <w:rPr>
          <w:rFonts w:ascii="Times New Roman" w:eastAsia="Calibri" w:hAnsi="Times New Roman" w:cs="Times New Roman"/>
          <w:sz w:val="24"/>
          <w:szCs w:val="24"/>
        </w:rPr>
        <w:t>se</w:t>
      </w:r>
      <w:r w:rsidR="003A23D6" w:rsidRPr="003A6D7B">
        <w:rPr>
          <w:rFonts w:ascii="Times New Roman" w:eastAsia="Calibri" w:hAnsi="Times New Roman" w:cs="Times New Roman"/>
          <w:sz w:val="24"/>
          <w:szCs w:val="24"/>
        </w:rPr>
        <w:t xml:space="preserve"> suradnj</w:t>
      </w:r>
      <w:r w:rsidR="005A7BFE" w:rsidRPr="003A6D7B">
        <w:rPr>
          <w:rFonts w:ascii="Times New Roman" w:eastAsia="Calibri" w:hAnsi="Times New Roman" w:cs="Times New Roman"/>
          <w:sz w:val="24"/>
          <w:szCs w:val="24"/>
        </w:rPr>
        <w:t>a</w:t>
      </w:r>
      <w:r w:rsidR="003A23D6" w:rsidRPr="003A6D7B">
        <w:rPr>
          <w:rFonts w:ascii="Times New Roman" w:eastAsia="Calibri" w:hAnsi="Times New Roman" w:cs="Times New Roman"/>
          <w:sz w:val="24"/>
          <w:szCs w:val="24"/>
        </w:rPr>
        <w:t xml:space="preserve"> sa Zavodom za javno zdravstvo Sisačko-moslavačke županije na projektu radiološkog monitoringa, monitoringa sustava voda i preventivnim zdravstvenim programima za stanovništvo. Sve navedene aktivnosti obuhvaćaju komunikaciju na lokalnoj razini i suradnju s lokalnom zajednicom.</w:t>
      </w:r>
      <w:r w:rsidR="0001496A" w:rsidRPr="003A6D7B">
        <w:rPr>
          <w:rFonts w:ascii="Times New Roman" w:eastAsia="Calibri" w:hAnsi="Times New Roman" w:cs="Times New Roman"/>
          <w:sz w:val="24"/>
          <w:szCs w:val="24"/>
        </w:rPr>
        <w:t xml:space="preserve"> </w:t>
      </w:r>
    </w:p>
    <w:p w14:paraId="4198E163" w14:textId="434AA1FC" w:rsidR="003A23D6" w:rsidRPr="003A6D7B" w:rsidRDefault="003A23D6" w:rsidP="00902811">
      <w:pPr>
        <w:pStyle w:val="Heading3"/>
        <w:spacing w:line="276" w:lineRule="auto"/>
        <w:rPr>
          <w:rFonts w:ascii="Times New Roman" w:hAnsi="Times New Roman" w:cs="Times New Roman"/>
          <w:sz w:val="28"/>
          <w:szCs w:val="28"/>
        </w:rPr>
      </w:pPr>
      <w:bookmarkStart w:id="73" w:name="_Toc58937050"/>
      <w:bookmarkStart w:id="74" w:name="_Toc59178439"/>
      <w:bookmarkStart w:id="75" w:name="_Toc62050189"/>
      <w:bookmarkStart w:id="76" w:name="_Toc130809359"/>
      <w:r w:rsidRPr="003A6D7B">
        <w:rPr>
          <w:rFonts w:ascii="Times New Roman" w:hAnsi="Times New Roman" w:cs="Times New Roman"/>
          <w:sz w:val="28"/>
          <w:szCs w:val="28"/>
        </w:rPr>
        <w:t>Promo</w:t>
      </w:r>
      <w:bookmarkEnd w:id="73"/>
      <w:bookmarkEnd w:id="74"/>
      <w:bookmarkEnd w:id="75"/>
      <w:r w:rsidR="004D51D1" w:rsidRPr="003A6D7B">
        <w:rPr>
          <w:rFonts w:ascii="Times New Roman" w:hAnsi="Times New Roman" w:cs="Times New Roman"/>
          <w:sz w:val="28"/>
          <w:szCs w:val="28"/>
        </w:rPr>
        <w:t>tivne i informativno-edukativne aktivnosti</w:t>
      </w:r>
      <w:bookmarkEnd w:id="76"/>
    </w:p>
    <w:p w14:paraId="210B6CCE" w14:textId="39D162B0" w:rsidR="003A23D6" w:rsidRPr="003A6D7B" w:rsidRDefault="003A23D6" w:rsidP="00A24722">
      <w:pPr>
        <w:spacing w:before="120"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U svrhu organiziranja aktivnosti informiranja javnosti o sigurnom zbrinjavanju radioaktivnog otpada i uspostavi Centra za zbrinjavanje radioaktivnog otpada, te poticanju na sudjelovanje javnosti, tijekom 2020. godine sklopljen je ugovor s agencijom</w:t>
      </w:r>
      <w:r w:rsidRPr="003A6D7B">
        <w:rPr>
          <w:rFonts w:ascii="Times New Roman" w:hAnsi="Times New Roman" w:cs="Times New Roman"/>
          <w:sz w:val="24"/>
          <w:szCs w:val="24"/>
        </w:rPr>
        <w:t xml:space="preserve"> za odnose s javnošću</w:t>
      </w:r>
      <w:r w:rsidRPr="003A6D7B">
        <w:rPr>
          <w:rFonts w:ascii="Times New Roman" w:eastAsia="Calibri" w:hAnsi="Times New Roman" w:cs="Times New Roman"/>
          <w:sz w:val="24"/>
          <w:szCs w:val="24"/>
        </w:rPr>
        <w:t xml:space="preserve">. Ugovor je potpisan na dvije godine, a aktivnosti informiranja i uključivanja javnosti </w:t>
      </w:r>
      <w:r w:rsidR="00C90ECC" w:rsidRPr="003A6D7B">
        <w:rPr>
          <w:rFonts w:ascii="Times New Roman" w:eastAsia="Calibri" w:hAnsi="Times New Roman" w:cs="Times New Roman"/>
          <w:sz w:val="24"/>
          <w:szCs w:val="24"/>
        </w:rPr>
        <w:t>provodi se</w:t>
      </w:r>
      <w:r w:rsidRPr="003A6D7B">
        <w:rPr>
          <w:rFonts w:ascii="Times New Roman" w:eastAsia="Calibri" w:hAnsi="Times New Roman" w:cs="Times New Roman"/>
          <w:sz w:val="24"/>
          <w:szCs w:val="24"/>
        </w:rPr>
        <w:t xml:space="preserve"> prema Nacionalnom programu, </w:t>
      </w:r>
      <w:r w:rsidR="00C90ECC" w:rsidRPr="003A6D7B">
        <w:rPr>
          <w:rFonts w:ascii="Times New Roman" w:eastAsia="Calibri" w:hAnsi="Times New Roman" w:cs="Times New Roman"/>
          <w:sz w:val="24"/>
          <w:szCs w:val="24"/>
        </w:rPr>
        <w:t xml:space="preserve">aktualnoj </w:t>
      </w:r>
      <w:r w:rsidRPr="003A6D7B">
        <w:rPr>
          <w:rFonts w:ascii="Times New Roman" w:eastAsia="Calibri" w:hAnsi="Times New Roman" w:cs="Times New Roman"/>
          <w:sz w:val="24"/>
          <w:szCs w:val="24"/>
        </w:rPr>
        <w:t xml:space="preserve">Komunikacijskoj strategiji na projektu uspostave Centra i godišnjim planovima. </w:t>
      </w:r>
      <w:r w:rsidR="005A7BFE" w:rsidRPr="003A6D7B">
        <w:rPr>
          <w:rFonts w:ascii="Times New Roman" w:eastAsia="Calibri" w:hAnsi="Times New Roman" w:cs="Times New Roman"/>
          <w:sz w:val="24"/>
          <w:szCs w:val="24"/>
        </w:rPr>
        <w:t xml:space="preserve">Zbog otežanih okolnosti za ispunjenje ugovora te nemogućnosti izvršenja pojedinih aktivnosti po ugovoru zbog pandemije </w:t>
      </w:r>
      <w:r w:rsidR="007D3589" w:rsidRPr="003A6D7B">
        <w:rPr>
          <w:rFonts w:ascii="Times New Roman" w:eastAsia="Calibri" w:hAnsi="Times New Roman" w:cs="Times New Roman"/>
          <w:sz w:val="24"/>
          <w:szCs w:val="24"/>
        </w:rPr>
        <w:t>korona virusa</w:t>
      </w:r>
      <w:r w:rsidR="005A7BFE" w:rsidRPr="003A6D7B">
        <w:rPr>
          <w:rFonts w:ascii="Times New Roman" w:eastAsia="Calibri" w:hAnsi="Times New Roman" w:cs="Times New Roman"/>
          <w:sz w:val="24"/>
          <w:szCs w:val="24"/>
        </w:rPr>
        <w:t xml:space="preserve">, ugovor s agencijom za odnose s javnošću </w:t>
      </w:r>
      <w:r w:rsidR="00C90ECC" w:rsidRPr="003A6D7B">
        <w:rPr>
          <w:rFonts w:ascii="Times New Roman" w:eastAsia="Calibri" w:hAnsi="Times New Roman" w:cs="Times New Roman"/>
          <w:sz w:val="24"/>
          <w:szCs w:val="24"/>
        </w:rPr>
        <w:t xml:space="preserve">produljen je za 9 mjeseci, do srpnja </w:t>
      </w:r>
      <w:r w:rsidR="005A7BFE" w:rsidRPr="003A6D7B">
        <w:rPr>
          <w:rFonts w:ascii="Times New Roman" w:eastAsia="Calibri" w:hAnsi="Times New Roman" w:cs="Times New Roman"/>
          <w:sz w:val="24"/>
          <w:szCs w:val="24"/>
        </w:rPr>
        <w:t xml:space="preserve"> 2023., kako bi se realizirale ugovorene aktivnosti. Nakon izvršenja ugovora, planiran je novi angažman agencije za odnose s javnošću.</w:t>
      </w:r>
    </w:p>
    <w:p w14:paraId="4E59EC82" w14:textId="57B422A7" w:rsidR="003A23D6" w:rsidRPr="003A6D7B" w:rsidRDefault="003A23D6" w:rsidP="00902811">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lastRenderedPageBreak/>
        <w:t xml:space="preserve">Aktivnosti informiranja javnosti obuhvaćaju tematske konzultacije sa zainteresiranom javnosti, radionice i edukacijsko-informativna predavanja, organizaciju javnih rasprava i studijskih putovanja za javnost, nevladine organizacije i medije, sudjelovanje na popularno </w:t>
      </w:r>
      <w:r w:rsidR="00A24722" w:rsidRPr="003A6D7B">
        <w:rPr>
          <w:rFonts w:ascii="Times New Roman" w:eastAsia="Calibri" w:hAnsi="Times New Roman" w:cs="Times New Roman"/>
          <w:sz w:val="24"/>
          <w:szCs w:val="24"/>
        </w:rPr>
        <w:t xml:space="preserve">- </w:t>
      </w:r>
      <w:r w:rsidRPr="003A6D7B">
        <w:rPr>
          <w:rFonts w:ascii="Times New Roman" w:eastAsia="Calibri" w:hAnsi="Times New Roman" w:cs="Times New Roman"/>
          <w:sz w:val="24"/>
          <w:szCs w:val="24"/>
        </w:rPr>
        <w:t xml:space="preserve">znanstvenim manifestacijama, organizaciju okruglih stolova i ostalih sličnih manifestacija. </w:t>
      </w:r>
    </w:p>
    <w:p w14:paraId="6AD3109D" w14:textId="34E960FB" w:rsidR="003A23D6" w:rsidRPr="003A6D7B" w:rsidRDefault="003A23D6" w:rsidP="00902811">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 xml:space="preserve">Za potrebe komunikacijskih i informativnih aktivnosti projekta </w:t>
      </w:r>
      <w:r w:rsidR="00C90ECC" w:rsidRPr="003A6D7B">
        <w:rPr>
          <w:rFonts w:ascii="Times New Roman" w:eastAsia="Calibri" w:hAnsi="Times New Roman" w:cs="Times New Roman"/>
          <w:sz w:val="24"/>
          <w:szCs w:val="24"/>
        </w:rPr>
        <w:t>predviđena</w:t>
      </w:r>
      <w:r w:rsidRPr="003A6D7B">
        <w:rPr>
          <w:rFonts w:ascii="Times New Roman" w:eastAsia="Calibri" w:hAnsi="Times New Roman" w:cs="Times New Roman"/>
          <w:sz w:val="24"/>
          <w:szCs w:val="24"/>
        </w:rPr>
        <w:t xml:space="preserve"> je produkcija oglasa, idejnih i grafičkih rješenja, tiskovina, izložaka i informativno-promotivnih materijala</w:t>
      </w:r>
      <w:r w:rsidRPr="003A6D7B">
        <w:rPr>
          <w:rFonts w:ascii="Times New Roman" w:hAnsi="Times New Roman" w:cs="Times New Roman"/>
          <w:sz w:val="24"/>
          <w:szCs w:val="24"/>
        </w:rPr>
        <w:t xml:space="preserve"> prilagođenih svim zainteresiranim javnostima i uzrastima</w:t>
      </w:r>
      <w:r w:rsidRPr="003A6D7B">
        <w:rPr>
          <w:rFonts w:ascii="Times New Roman" w:eastAsia="Calibri" w:hAnsi="Times New Roman" w:cs="Times New Roman"/>
          <w:sz w:val="24"/>
          <w:szCs w:val="24"/>
        </w:rPr>
        <w:t>.</w:t>
      </w:r>
      <w:r w:rsidR="00A8397F" w:rsidRPr="003A6D7B">
        <w:rPr>
          <w:rFonts w:ascii="Times New Roman" w:eastAsia="Calibri" w:hAnsi="Times New Roman" w:cs="Times New Roman"/>
          <w:sz w:val="24"/>
          <w:szCs w:val="24"/>
        </w:rPr>
        <w:t xml:space="preserve"> </w:t>
      </w:r>
    </w:p>
    <w:p w14:paraId="077882F0" w14:textId="34A2332A" w:rsidR="00C90ECC" w:rsidRPr="003A6D7B" w:rsidRDefault="00950F13" w:rsidP="00A24722">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 xml:space="preserve">U 2023. godini </w:t>
      </w:r>
      <w:r w:rsidR="00C90ECC" w:rsidRPr="003A6D7B">
        <w:rPr>
          <w:rFonts w:ascii="Times New Roman" w:eastAsia="Calibri" w:hAnsi="Times New Roman" w:cs="Times New Roman"/>
          <w:sz w:val="24"/>
          <w:szCs w:val="24"/>
        </w:rPr>
        <w:t xml:space="preserve">dovršit će se </w:t>
      </w:r>
      <w:r w:rsidRPr="003A6D7B">
        <w:rPr>
          <w:rFonts w:ascii="Times New Roman" w:eastAsia="Calibri" w:hAnsi="Times New Roman" w:cs="Times New Roman"/>
          <w:sz w:val="24"/>
          <w:szCs w:val="24"/>
        </w:rPr>
        <w:t xml:space="preserve"> izrada Komunikacijske strategije za razdoblje od 2023. do 2024. godine.</w:t>
      </w:r>
    </w:p>
    <w:p w14:paraId="042F04E2" w14:textId="00BDC4C7" w:rsidR="003A23D6" w:rsidRPr="003A6D7B" w:rsidRDefault="003A23D6" w:rsidP="00F56418">
      <w:pPr>
        <w:pStyle w:val="Heading3"/>
        <w:spacing w:before="240" w:line="276" w:lineRule="auto"/>
        <w:rPr>
          <w:rFonts w:ascii="Times New Roman" w:hAnsi="Times New Roman" w:cs="Times New Roman"/>
          <w:sz w:val="28"/>
          <w:szCs w:val="28"/>
        </w:rPr>
      </w:pPr>
      <w:bookmarkStart w:id="77" w:name="_Toc58937051"/>
      <w:bookmarkStart w:id="78" w:name="_Toc59178440"/>
      <w:bookmarkStart w:id="79" w:name="_Toc62050190"/>
      <w:bookmarkStart w:id="80" w:name="_Toc130809360"/>
      <w:r w:rsidRPr="003A6D7B">
        <w:rPr>
          <w:rFonts w:ascii="Times New Roman" w:hAnsi="Times New Roman" w:cs="Times New Roman"/>
          <w:sz w:val="28"/>
          <w:szCs w:val="28"/>
        </w:rPr>
        <w:t>Uspostava i održavanje centara za informiranje javnosti</w:t>
      </w:r>
      <w:bookmarkEnd w:id="77"/>
      <w:bookmarkEnd w:id="78"/>
      <w:bookmarkEnd w:id="79"/>
      <w:bookmarkEnd w:id="80"/>
    </w:p>
    <w:p w14:paraId="1ADAF7B8" w14:textId="4341F092" w:rsidR="003A23D6" w:rsidRPr="003A6D7B" w:rsidRDefault="003A23D6" w:rsidP="00A24722">
      <w:pPr>
        <w:spacing w:before="120"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U cilju omogućavanja što bolje informiranosti lokalne zajednice o uspostavi Centra za zbrinjavanje radioaktivnog otpada</w:t>
      </w:r>
      <w:r w:rsidR="00A24722" w:rsidRPr="003A6D7B">
        <w:rPr>
          <w:rFonts w:ascii="Times New Roman" w:eastAsia="Calibri" w:hAnsi="Times New Roman" w:cs="Times New Roman"/>
          <w:sz w:val="24"/>
          <w:szCs w:val="24"/>
        </w:rPr>
        <w:t xml:space="preserve">, u 2022. su </w:t>
      </w:r>
      <w:r w:rsidR="00950F13" w:rsidRPr="003A6D7B">
        <w:rPr>
          <w:rFonts w:ascii="Times New Roman" w:eastAsia="Calibri" w:hAnsi="Times New Roman" w:cs="Times New Roman"/>
          <w:sz w:val="24"/>
          <w:szCs w:val="24"/>
        </w:rPr>
        <w:t xml:space="preserve">uspostavljeni </w:t>
      </w:r>
      <w:r w:rsidRPr="003A6D7B">
        <w:rPr>
          <w:rFonts w:ascii="Times New Roman" w:eastAsia="Calibri" w:hAnsi="Times New Roman" w:cs="Times New Roman"/>
          <w:sz w:val="24"/>
          <w:szCs w:val="24"/>
        </w:rPr>
        <w:t>Info centr</w:t>
      </w:r>
      <w:r w:rsidR="00950F13" w:rsidRPr="003A6D7B">
        <w:rPr>
          <w:rFonts w:ascii="Times New Roman" w:eastAsia="Calibri" w:hAnsi="Times New Roman" w:cs="Times New Roman"/>
          <w:sz w:val="24"/>
          <w:szCs w:val="24"/>
        </w:rPr>
        <w:t xml:space="preserve">i u Zagrebu i </w:t>
      </w:r>
      <w:r w:rsidRPr="003A6D7B">
        <w:rPr>
          <w:rFonts w:ascii="Times New Roman" w:eastAsia="Calibri" w:hAnsi="Times New Roman" w:cs="Times New Roman"/>
          <w:sz w:val="24"/>
          <w:szCs w:val="24"/>
        </w:rPr>
        <w:t xml:space="preserve">Dvoru. </w:t>
      </w:r>
      <w:r w:rsidR="00950F13" w:rsidRPr="003A6D7B">
        <w:rPr>
          <w:rFonts w:ascii="Times New Roman" w:eastAsia="Calibri" w:hAnsi="Times New Roman" w:cs="Times New Roman"/>
          <w:sz w:val="24"/>
          <w:szCs w:val="24"/>
        </w:rPr>
        <w:t xml:space="preserve">Tijekom 2023. godine planirano je </w:t>
      </w:r>
      <w:r w:rsidR="00A24722" w:rsidRPr="003A6D7B">
        <w:rPr>
          <w:rFonts w:ascii="Times New Roman" w:eastAsia="Calibri" w:hAnsi="Times New Roman" w:cs="Times New Roman"/>
          <w:sz w:val="24"/>
          <w:szCs w:val="24"/>
        </w:rPr>
        <w:t xml:space="preserve">njihovo </w:t>
      </w:r>
      <w:r w:rsidR="00950F13" w:rsidRPr="003A6D7B">
        <w:rPr>
          <w:rFonts w:ascii="Times New Roman" w:eastAsia="Calibri" w:hAnsi="Times New Roman" w:cs="Times New Roman"/>
          <w:sz w:val="24"/>
          <w:szCs w:val="24"/>
        </w:rPr>
        <w:t>održavanje te izrada dodatnih sadržaja. Također, u svrhu približavanja tematike lokalnoj javnosti te što jasnijeg prikaza postojeće radioaktivnosti oko nas u realnom vremenu planirana je nabava maglene komore za Info centar o radioaktivnom otpadu u Dvoru.</w:t>
      </w:r>
      <w:r w:rsidR="00A8397F" w:rsidRPr="003A6D7B">
        <w:rPr>
          <w:rFonts w:ascii="Times New Roman" w:eastAsia="Calibri" w:hAnsi="Times New Roman" w:cs="Times New Roman"/>
          <w:sz w:val="24"/>
          <w:szCs w:val="24"/>
        </w:rPr>
        <w:t xml:space="preserve"> </w:t>
      </w:r>
    </w:p>
    <w:p w14:paraId="722081C9" w14:textId="04F01073" w:rsidR="00E92266" w:rsidRPr="003A6D7B" w:rsidRDefault="006D091F" w:rsidP="00F5299B">
      <w:pPr>
        <w:spacing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Manji dio sredstava planiran je i za održavanje internetskih stranica Fonda (</w:t>
      </w:r>
      <w:hyperlink r:id="rId13" w:history="1">
        <w:r w:rsidR="00E92266" w:rsidRPr="003A6D7B">
          <w:rPr>
            <w:rStyle w:val="Hyperlink"/>
            <w:rFonts w:ascii="Times New Roman" w:eastAsia="Calibri" w:hAnsi="Times New Roman" w:cs="Times New Roman"/>
            <w:sz w:val="24"/>
            <w:szCs w:val="24"/>
          </w:rPr>
          <w:t>www.fond-nek.hr</w:t>
        </w:r>
      </w:hyperlink>
      <w:r w:rsidRPr="003A6D7B">
        <w:rPr>
          <w:rFonts w:ascii="Times New Roman" w:eastAsia="Calibri" w:hAnsi="Times New Roman" w:cs="Times New Roman"/>
          <w:sz w:val="24"/>
          <w:szCs w:val="24"/>
        </w:rPr>
        <w:t>).</w:t>
      </w:r>
    </w:p>
    <w:p w14:paraId="3EA6C556" w14:textId="2DF5F1FF" w:rsidR="003A23D6" w:rsidRPr="003A6D7B" w:rsidRDefault="003A23D6" w:rsidP="00F56418">
      <w:pPr>
        <w:pStyle w:val="Heading3"/>
        <w:spacing w:before="240" w:line="276" w:lineRule="auto"/>
        <w:rPr>
          <w:rFonts w:ascii="Times New Roman" w:hAnsi="Times New Roman" w:cs="Times New Roman"/>
          <w:sz w:val="28"/>
          <w:szCs w:val="28"/>
        </w:rPr>
      </w:pPr>
      <w:bookmarkStart w:id="81" w:name="_Toc58937052"/>
      <w:bookmarkStart w:id="82" w:name="_Toc59178441"/>
      <w:bookmarkStart w:id="83" w:name="_Toc62050191"/>
      <w:bookmarkStart w:id="84" w:name="_Toc130809361"/>
      <w:r w:rsidRPr="003A6D7B">
        <w:rPr>
          <w:rFonts w:ascii="Times New Roman" w:hAnsi="Times New Roman" w:cs="Times New Roman"/>
          <w:sz w:val="28"/>
          <w:szCs w:val="28"/>
        </w:rPr>
        <w:t>Praćenje i analiza medija</w:t>
      </w:r>
      <w:bookmarkEnd w:id="81"/>
      <w:bookmarkEnd w:id="82"/>
      <w:bookmarkEnd w:id="83"/>
      <w:bookmarkEnd w:id="84"/>
    </w:p>
    <w:p w14:paraId="3BD8C769" w14:textId="5EF4E7BA" w:rsidR="00E92266" w:rsidRPr="003A6D7B" w:rsidRDefault="003A23D6" w:rsidP="00F5299B">
      <w:pPr>
        <w:spacing w:before="120"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Planiran je nastavak aktivnosti praćenja medijskih objava, te izrade medijske analize u svrhu dobivanja kvantitativnih i kvalitativnih pokazatelja objava u medijima. Jednom godišnje planirana je diskurzivna sveobuhvatna analiza medijskih objava, a ukoliko se procijeni da je potrebno, i češće.</w:t>
      </w:r>
    </w:p>
    <w:p w14:paraId="76EC4018" w14:textId="1FE25A6B" w:rsidR="00902811" w:rsidRPr="003A6D7B" w:rsidRDefault="003A23D6" w:rsidP="00F56418">
      <w:pPr>
        <w:pStyle w:val="Heading3"/>
        <w:spacing w:before="240" w:line="276" w:lineRule="auto"/>
        <w:rPr>
          <w:rFonts w:ascii="Times New Roman" w:hAnsi="Times New Roman" w:cs="Times New Roman"/>
          <w:sz w:val="28"/>
          <w:szCs w:val="28"/>
        </w:rPr>
      </w:pPr>
      <w:bookmarkStart w:id="85" w:name="_Toc58937054"/>
      <w:bookmarkStart w:id="86" w:name="_Toc59178443"/>
      <w:bookmarkStart w:id="87" w:name="_Toc62050193"/>
      <w:bookmarkStart w:id="88" w:name="_Toc130809362"/>
      <w:r w:rsidRPr="003A6D7B">
        <w:rPr>
          <w:rFonts w:ascii="Times New Roman" w:hAnsi="Times New Roman" w:cs="Times New Roman"/>
          <w:sz w:val="28"/>
          <w:szCs w:val="28"/>
        </w:rPr>
        <w:t>Financijska podrška lokalnoj zajednici</w:t>
      </w:r>
      <w:bookmarkEnd w:id="85"/>
      <w:bookmarkEnd w:id="86"/>
      <w:bookmarkEnd w:id="87"/>
      <w:bookmarkEnd w:id="88"/>
    </w:p>
    <w:p w14:paraId="20FCC2F4" w14:textId="5CEDC353" w:rsidR="004B694E" w:rsidRPr="003A6D7B" w:rsidRDefault="003A23D6" w:rsidP="00F56418">
      <w:pPr>
        <w:spacing w:before="120" w:line="276" w:lineRule="auto"/>
        <w:ind w:left="851"/>
        <w:rPr>
          <w:rFonts w:ascii="Times New Roman" w:eastAsia="Calibri" w:hAnsi="Times New Roman" w:cs="Times New Roman"/>
          <w:sz w:val="24"/>
          <w:szCs w:val="24"/>
        </w:rPr>
      </w:pPr>
      <w:r w:rsidRPr="003A6D7B">
        <w:rPr>
          <w:rFonts w:ascii="Times New Roman" w:eastAsia="Calibri" w:hAnsi="Times New Roman" w:cs="Times New Roman"/>
          <w:sz w:val="24"/>
          <w:szCs w:val="24"/>
        </w:rPr>
        <w:t xml:space="preserve">Lokalna zajednica na čijem će se teritoriju izraditi skladište radioaktivnog otpada i iskorištenih izvora prihvaća rješavanje nacionalnog problema na svom teritoriju. S obzirom na to da se radi o objektu od nacionalnog značenja, uobičajena svjetska praksa je isplata financijske podrške lokalnoj zajednici kao državnog poticaja za gospodarski razvoj. Visina financijske podrške predložena je Nacionalnim programom, te Trećom revizijom Programa razgradnje i Programa odlaganja RAO-a i ING-a iz NE Krško, a isplatu je potrebno regulirati Uredbom Vlade Republike Hrvatske. Uredbom </w:t>
      </w:r>
      <w:r w:rsidRPr="003A6D7B">
        <w:rPr>
          <w:rFonts w:ascii="Times New Roman" w:eastAsia="Calibri" w:hAnsi="Times New Roman" w:cs="Times New Roman"/>
          <w:sz w:val="24"/>
          <w:szCs w:val="24"/>
        </w:rPr>
        <w:lastRenderedPageBreak/>
        <w:t>će se definirati uvjeti i način financiranja, a njezino donošenje očekuje se tijekom 202</w:t>
      </w:r>
      <w:r w:rsidR="00950F13" w:rsidRPr="003A6D7B">
        <w:rPr>
          <w:rFonts w:ascii="Times New Roman" w:eastAsia="Calibri" w:hAnsi="Times New Roman" w:cs="Times New Roman"/>
          <w:sz w:val="24"/>
          <w:szCs w:val="24"/>
        </w:rPr>
        <w:t>3</w:t>
      </w:r>
      <w:r w:rsidRPr="003A6D7B">
        <w:rPr>
          <w:rFonts w:ascii="Times New Roman" w:eastAsia="Calibri" w:hAnsi="Times New Roman" w:cs="Times New Roman"/>
          <w:sz w:val="24"/>
          <w:szCs w:val="24"/>
        </w:rPr>
        <w:t>. godine.</w:t>
      </w:r>
      <w:bookmarkStart w:id="89" w:name="_Toc82432142"/>
      <w:bookmarkStart w:id="90" w:name="_Toc58937055"/>
      <w:bookmarkStart w:id="91" w:name="_Toc59178444"/>
      <w:bookmarkStart w:id="92" w:name="_Toc62050194"/>
      <w:bookmarkEnd w:id="89"/>
    </w:p>
    <w:p w14:paraId="286B2185" w14:textId="77777777" w:rsidR="00C90ECC" w:rsidRPr="003A6D7B" w:rsidRDefault="00C90ECC" w:rsidP="00902811">
      <w:pPr>
        <w:spacing w:line="276" w:lineRule="auto"/>
        <w:ind w:left="851"/>
        <w:rPr>
          <w:rFonts w:ascii="Times New Roman" w:eastAsia="Calibri" w:hAnsi="Times New Roman" w:cs="Times New Roman"/>
        </w:rPr>
      </w:pPr>
    </w:p>
    <w:p w14:paraId="099D7E90" w14:textId="7E04D812" w:rsidR="003A23D6" w:rsidRPr="003A6D7B" w:rsidRDefault="003A23D6" w:rsidP="00BC46B2">
      <w:pPr>
        <w:pStyle w:val="Heading2"/>
        <w:rPr>
          <w:rFonts w:ascii="Times New Roman" w:hAnsi="Times New Roman" w:cs="Times New Roman"/>
        </w:rPr>
      </w:pPr>
      <w:bookmarkStart w:id="93" w:name="_Toc130809363"/>
      <w:r w:rsidRPr="003A6D7B">
        <w:rPr>
          <w:rFonts w:ascii="Times New Roman" w:hAnsi="Times New Roman" w:cs="Times New Roman"/>
        </w:rPr>
        <w:t>Tablični prikaz planiranih troškova i investicija</w:t>
      </w:r>
      <w:bookmarkEnd w:id="90"/>
      <w:bookmarkEnd w:id="91"/>
      <w:bookmarkEnd w:id="92"/>
      <w:bookmarkEnd w:id="93"/>
    </w:p>
    <w:p w14:paraId="55FDD3AC" w14:textId="47E05869" w:rsidR="00E92266" w:rsidRPr="003A6D7B" w:rsidRDefault="00E92266" w:rsidP="00E92266">
      <w:pPr>
        <w:pStyle w:val="Caption"/>
        <w:keepNext/>
        <w:rPr>
          <w:rFonts w:ascii="Times New Roman" w:hAnsi="Times New Roman" w:cs="Times New Roman"/>
          <w:i w:val="0"/>
          <w:iCs w:val="0"/>
          <w:sz w:val="22"/>
          <w:szCs w:val="22"/>
        </w:rPr>
      </w:pPr>
      <w:bookmarkStart w:id="94" w:name="_Toc130809256"/>
      <w:r w:rsidRPr="003A6D7B">
        <w:rPr>
          <w:rFonts w:ascii="Times New Roman" w:hAnsi="Times New Roman" w:cs="Times New Roman"/>
          <w:i w:val="0"/>
          <w:iCs w:val="0"/>
          <w:sz w:val="22"/>
          <w:szCs w:val="22"/>
        </w:rPr>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1</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Planirani troškovi i investicije </w:t>
      </w:r>
      <w:r w:rsidR="0040292E" w:rsidRPr="003A6D7B">
        <w:rPr>
          <w:rFonts w:ascii="Times New Roman" w:hAnsi="Times New Roman" w:cs="Times New Roman"/>
          <w:i w:val="0"/>
          <w:iCs w:val="0"/>
          <w:sz w:val="22"/>
          <w:szCs w:val="22"/>
        </w:rPr>
        <w:t xml:space="preserve">- </w:t>
      </w:r>
      <w:r w:rsidRPr="003A6D7B">
        <w:rPr>
          <w:rFonts w:ascii="Times New Roman" w:hAnsi="Times New Roman" w:cs="Times New Roman"/>
          <w:i w:val="0"/>
          <w:iCs w:val="0"/>
          <w:sz w:val="22"/>
          <w:szCs w:val="22"/>
        </w:rPr>
        <w:t xml:space="preserve"> RAO</w:t>
      </w:r>
      <w:bookmarkEnd w:id="94"/>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79"/>
        <w:gridCol w:w="1266"/>
        <w:gridCol w:w="5942"/>
      </w:tblGrid>
      <w:tr w:rsidR="00E9660C" w:rsidRPr="003A6D7B" w14:paraId="3E4C9F7E" w14:textId="77777777" w:rsidTr="00F77A26">
        <w:trPr>
          <w:trHeight w:val="900"/>
          <w:tblHeader/>
        </w:trPr>
        <w:tc>
          <w:tcPr>
            <w:tcW w:w="2379" w:type="dxa"/>
            <w:shd w:val="clear" w:color="auto" w:fill="C5E0B3" w:themeFill="accent6" w:themeFillTint="66"/>
            <w:vAlign w:val="center"/>
            <w:hideMark/>
          </w:tcPr>
          <w:p w14:paraId="7B61C073" w14:textId="77777777" w:rsidR="00E9660C" w:rsidRPr="003A6D7B" w:rsidRDefault="00E9660C" w:rsidP="00E9660C">
            <w:pPr>
              <w:spacing w:after="0" w:line="240" w:lineRule="auto"/>
              <w:jc w:val="center"/>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b/>
                <w:bCs/>
                <w:color w:val="000000"/>
                <w:lang w:eastAsia="hr-HR"/>
              </w:rPr>
              <w:t>Aktivnost</w:t>
            </w:r>
          </w:p>
        </w:tc>
        <w:tc>
          <w:tcPr>
            <w:tcW w:w="1266" w:type="dxa"/>
            <w:shd w:val="clear" w:color="auto" w:fill="C5E0B3" w:themeFill="accent6" w:themeFillTint="66"/>
            <w:vAlign w:val="center"/>
            <w:hideMark/>
          </w:tcPr>
          <w:p w14:paraId="70210737" w14:textId="36810475" w:rsidR="00E9660C" w:rsidRPr="003A6D7B" w:rsidRDefault="00E9660C" w:rsidP="00B16479">
            <w:pPr>
              <w:spacing w:after="0" w:line="240" w:lineRule="auto"/>
              <w:jc w:val="center"/>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b/>
                <w:bCs/>
                <w:color w:val="000000"/>
                <w:lang w:eastAsia="hr-HR"/>
              </w:rPr>
              <w:t>Plan 2023.</w:t>
            </w:r>
            <w:r w:rsidR="001655B3" w:rsidRPr="003A6D7B">
              <w:rPr>
                <w:rFonts w:ascii="Times New Roman" w:eastAsia="Times New Roman" w:hAnsi="Times New Roman" w:cs="Times New Roman"/>
                <w:b/>
                <w:bCs/>
                <w:color w:val="000000"/>
                <w:lang w:eastAsia="hr-HR"/>
              </w:rPr>
              <w:t>, EUR</w:t>
            </w:r>
          </w:p>
        </w:tc>
        <w:tc>
          <w:tcPr>
            <w:tcW w:w="5942" w:type="dxa"/>
            <w:shd w:val="clear" w:color="auto" w:fill="C5E0B3" w:themeFill="accent6" w:themeFillTint="66"/>
            <w:vAlign w:val="center"/>
            <w:hideMark/>
          </w:tcPr>
          <w:p w14:paraId="3E1ECA88" w14:textId="77777777" w:rsidR="00E9660C" w:rsidRPr="003A6D7B" w:rsidRDefault="00E9660C" w:rsidP="00B16479">
            <w:pPr>
              <w:spacing w:after="0" w:line="240" w:lineRule="auto"/>
              <w:jc w:val="left"/>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b/>
                <w:bCs/>
                <w:color w:val="000000"/>
                <w:lang w:eastAsia="hr-HR"/>
              </w:rPr>
              <w:t>Opis aktivnosti</w:t>
            </w:r>
          </w:p>
        </w:tc>
      </w:tr>
      <w:tr w:rsidR="00E9660C" w:rsidRPr="003A6D7B" w14:paraId="465E4534" w14:textId="77777777" w:rsidTr="00F77A26">
        <w:trPr>
          <w:trHeight w:val="1515"/>
        </w:trPr>
        <w:tc>
          <w:tcPr>
            <w:tcW w:w="2379" w:type="dxa"/>
            <w:shd w:val="clear" w:color="auto" w:fill="auto"/>
            <w:vAlign w:val="center"/>
            <w:hideMark/>
          </w:tcPr>
          <w:p w14:paraId="1C8F87AE" w14:textId="77777777" w:rsidR="00E9660C" w:rsidRPr="003A6D7B" w:rsidRDefault="00E9660C" w:rsidP="00E9660C">
            <w:pPr>
              <w:spacing w:after="0" w:line="240" w:lineRule="auto"/>
              <w:jc w:val="lef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1. Izrada Programa razgradnje NEK-a (PR) i Programa odlaganja RAO-a i ING-a NEK-a (PO) - Provedba Treće i priprema Četvrte revizije PR-a i PO-a i stručnih studija</w:t>
            </w:r>
          </w:p>
        </w:tc>
        <w:tc>
          <w:tcPr>
            <w:tcW w:w="1266" w:type="dxa"/>
            <w:shd w:val="clear" w:color="auto" w:fill="auto"/>
            <w:noWrap/>
            <w:vAlign w:val="center"/>
            <w:hideMark/>
          </w:tcPr>
          <w:p w14:paraId="4954EF0F" w14:textId="3631FF92" w:rsidR="00E9660C" w:rsidRPr="003A6D7B" w:rsidRDefault="00E9660C" w:rsidP="00B16479">
            <w:pPr>
              <w:spacing w:after="0" w:line="240" w:lineRule="auto"/>
              <w:jc w:val="right"/>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b/>
                <w:bCs/>
                <w:color w:val="000000"/>
                <w:lang w:eastAsia="hr-HR"/>
              </w:rPr>
              <w:t xml:space="preserve">     466.000</w:t>
            </w:r>
          </w:p>
        </w:tc>
        <w:tc>
          <w:tcPr>
            <w:tcW w:w="5942" w:type="dxa"/>
            <w:shd w:val="clear" w:color="auto" w:fill="auto"/>
            <w:vAlign w:val="center"/>
            <w:hideMark/>
          </w:tcPr>
          <w:p w14:paraId="5A63EBEA" w14:textId="7560930F"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Projekti i aktivnosti pripreme Četvrte revizije PR i PO, potpornih tehničkih studija koje proizlaze iz zaključaka i preporuka </w:t>
            </w:r>
            <w:r w:rsidR="004C0021" w:rsidRPr="003A6D7B">
              <w:rPr>
                <w:rFonts w:ascii="Times New Roman" w:eastAsia="Times New Roman" w:hAnsi="Times New Roman" w:cs="Times New Roman"/>
                <w:color w:val="000000"/>
                <w:lang w:eastAsia="hr-HR"/>
              </w:rPr>
              <w:t>3.</w:t>
            </w:r>
            <w:r w:rsidRPr="003A6D7B">
              <w:rPr>
                <w:rFonts w:ascii="Times New Roman" w:eastAsia="Times New Roman" w:hAnsi="Times New Roman" w:cs="Times New Roman"/>
                <w:color w:val="000000"/>
                <w:lang w:eastAsia="hr-HR"/>
              </w:rPr>
              <w:t xml:space="preserve"> revizije Programa odlaganja RAO i ING NEK i hrvatskih obveza zbrinjavanja NSRAO </w:t>
            </w:r>
            <w:r w:rsidR="004C0021" w:rsidRPr="003A6D7B">
              <w:rPr>
                <w:rFonts w:ascii="Times New Roman" w:eastAsia="Times New Roman" w:hAnsi="Times New Roman" w:cs="Times New Roman"/>
                <w:color w:val="000000"/>
                <w:lang w:eastAsia="hr-HR"/>
              </w:rPr>
              <w:t>i</w:t>
            </w:r>
            <w:r w:rsidRPr="003A6D7B">
              <w:rPr>
                <w:rFonts w:ascii="Times New Roman" w:eastAsia="Times New Roman" w:hAnsi="Times New Roman" w:cs="Times New Roman"/>
                <w:color w:val="000000"/>
                <w:lang w:eastAsia="hr-HR"/>
              </w:rPr>
              <w:t xml:space="preserve"> ING iz NEK-a</w:t>
            </w:r>
          </w:p>
        </w:tc>
      </w:tr>
      <w:tr w:rsidR="00E9660C" w:rsidRPr="003A6D7B" w14:paraId="67B0BEFA" w14:textId="77777777" w:rsidTr="00F77A26">
        <w:trPr>
          <w:trHeight w:val="1908"/>
        </w:trPr>
        <w:tc>
          <w:tcPr>
            <w:tcW w:w="2379" w:type="dxa"/>
            <w:shd w:val="clear" w:color="auto" w:fill="auto"/>
            <w:vAlign w:val="center"/>
            <w:hideMark/>
          </w:tcPr>
          <w:p w14:paraId="2991A386" w14:textId="77777777" w:rsidR="00E9660C" w:rsidRPr="003A6D7B" w:rsidRDefault="00E9660C" w:rsidP="00E9660C">
            <w:pPr>
              <w:spacing w:after="0" w:line="240" w:lineRule="auto"/>
              <w:jc w:val="lef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2. Nacionalni program (provedba Strategije)</w:t>
            </w:r>
          </w:p>
        </w:tc>
        <w:tc>
          <w:tcPr>
            <w:tcW w:w="1266" w:type="dxa"/>
            <w:shd w:val="clear" w:color="auto" w:fill="auto"/>
            <w:noWrap/>
            <w:vAlign w:val="center"/>
            <w:hideMark/>
          </w:tcPr>
          <w:p w14:paraId="533B1808" w14:textId="246917B1" w:rsidR="00E9660C" w:rsidRPr="003A6D7B" w:rsidRDefault="00E9660C" w:rsidP="00B16479">
            <w:pPr>
              <w:spacing w:after="0" w:line="240" w:lineRule="auto"/>
              <w:jc w:val="right"/>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b/>
                <w:bCs/>
                <w:color w:val="000000"/>
                <w:lang w:eastAsia="hr-HR"/>
              </w:rPr>
              <w:t xml:space="preserve">        86.000</w:t>
            </w:r>
          </w:p>
        </w:tc>
        <w:tc>
          <w:tcPr>
            <w:tcW w:w="5942" w:type="dxa"/>
            <w:shd w:val="clear" w:color="auto" w:fill="auto"/>
            <w:vAlign w:val="center"/>
            <w:hideMark/>
          </w:tcPr>
          <w:p w14:paraId="1D15C845"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Važeći Nacionalni program provedbe Strategije zbrinjavanja RAO, II i ING-a izrađen je za razdoblje do 2025. godine (s pogledom do 2060. godine), te je sukladno Strategiji i preporukama Europske komisije potrebno je planirati izradu novog Nacionalnog Programa za razdoblje od 2025. godine na dalje. Planira se izrada podloga koje će poslužiti za izradu nacrta prijedloga Nacionalnog programa i planirane potrebnih aktivnosti za njegovo usvajanje. </w:t>
            </w:r>
          </w:p>
        </w:tc>
      </w:tr>
      <w:tr w:rsidR="00E9660C" w:rsidRPr="003A6D7B" w14:paraId="4A97BD6F" w14:textId="77777777" w:rsidTr="00F77A26">
        <w:trPr>
          <w:trHeight w:val="884"/>
        </w:trPr>
        <w:tc>
          <w:tcPr>
            <w:tcW w:w="2379" w:type="dxa"/>
            <w:shd w:val="clear" w:color="auto" w:fill="auto"/>
            <w:vAlign w:val="center"/>
            <w:hideMark/>
          </w:tcPr>
          <w:p w14:paraId="029B7AB4" w14:textId="2F570750" w:rsidR="00E9660C" w:rsidRPr="003A6D7B" w:rsidRDefault="00E9660C" w:rsidP="00E9660C">
            <w:pPr>
              <w:spacing w:after="0" w:line="240" w:lineRule="auto"/>
              <w:jc w:val="lef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3. Cent</w:t>
            </w:r>
            <w:r w:rsidR="004C0021" w:rsidRPr="003A6D7B">
              <w:rPr>
                <w:rFonts w:ascii="Times New Roman" w:eastAsia="Times New Roman" w:hAnsi="Times New Roman" w:cs="Times New Roman"/>
                <w:b/>
                <w:bCs/>
                <w:color w:val="auto"/>
                <w:lang w:eastAsia="hr-HR"/>
              </w:rPr>
              <w:t>ar</w:t>
            </w:r>
            <w:r w:rsidRPr="003A6D7B">
              <w:rPr>
                <w:rFonts w:ascii="Times New Roman" w:eastAsia="Times New Roman" w:hAnsi="Times New Roman" w:cs="Times New Roman"/>
                <w:b/>
                <w:bCs/>
                <w:color w:val="auto"/>
                <w:lang w:eastAsia="hr-HR"/>
              </w:rPr>
              <w:t xml:space="preserve"> za zbrinjavanje RAO</w:t>
            </w:r>
          </w:p>
        </w:tc>
        <w:tc>
          <w:tcPr>
            <w:tcW w:w="1266" w:type="dxa"/>
            <w:shd w:val="clear" w:color="auto" w:fill="auto"/>
            <w:noWrap/>
            <w:vAlign w:val="center"/>
            <w:hideMark/>
          </w:tcPr>
          <w:p w14:paraId="21BF04DD" w14:textId="627EE8F7" w:rsidR="00E9660C" w:rsidRPr="003A6D7B" w:rsidRDefault="00E9660C" w:rsidP="00B16479">
            <w:pPr>
              <w:spacing w:after="0" w:line="240" w:lineRule="auto"/>
              <w:jc w:val="right"/>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color w:val="000000"/>
                <w:lang w:eastAsia="hr-HR"/>
              </w:rPr>
              <w:t xml:space="preserve">     </w:t>
            </w:r>
            <w:r w:rsidRPr="003A6D7B">
              <w:rPr>
                <w:rFonts w:ascii="Times New Roman" w:eastAsia="Times New Roman" w:hAnsi="Times New Roman" w:cs="Times New Roman"/>
                <w:b/>
                <w:bCs/>
                <w:color w:val="000000"/>
                <w:lang w:eastAsia="hr-HR"/>
              </w:rPr>
              <w:t>1.571.500</w:t>
            </w:r>
          </w:p>
        </w:tc>
        <w:tc>
          <w:tcPr>
            <w:tcW w:w="5942" w:type="dxa"/>
            <w:shd w:val="clear" w:color="auto" w:fill="auto"/>
            <w:vAlign w:val="center"/>
            <w:hideMark/>
          </w:tcPr>
          <w:p w14:paraId="382A51FA"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w:t>
            </w:r>
          </w:p>
        </w:tc>
      </w:tr>
      <w:tr w:rsidR="00E9660C" w:rsidRPr="003A6D7B" w14:paraId="61429EA3" w14:textId="77777777" w:rsidTr="00AB1602">
        <w:trPr>
          <w:trHeight w:val="659"/>
        </w:trPr>
        <w:tc>
          <w:tcPr>
            <w:tcW w:w="2379" w:type="dxa"/>
            <w:shd w:val="clear" w:color="auto" w:fill="auto"/>
            <w:vAlign w:val="center"/>
            <w:hideMark/>
          </w:tcPr>
          <w:p w14:paraId="3A4B2E74"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3.1. Prostorno-planerske i imovinsko pravne aktivnosti radi usklađivanja zahvata s dokumentom prostornog uređenja</w:t>
            </w:r>
          </w:p>
        </w:tc>
        <w:tc>
          <w:tcPr>
            <w:tcW w:w="1266" w:type="dxa"/>
            <w:shd w:val="clear" w:color="auto" w:fill="auto"/>
            <w:noWrap/>
            <w:vAlign w:val="center"/>
            <w:hideMark/>
          </w:tcPr>
          <w:p w14:paraId="7141FDE4" w14:textId="77961E99"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114.000</w:t>
            </w:r>
          </w:p>
        </w:tc>
        <w:tc>
          <w:tcPr>
            <w:tcW w:w="5942" w:type="dxa"/>
            <w:shd w:val="clear" w:color="auto" w:fill="auto"/>
            <w:vAlign w:val="center"/>
            <w:hideMark/>
          </w:tcPr>
          <w:p w14:paraId="0BB6074C"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Projekti i aktivnosti vezani za odvjetničke i urbanističke poslove koji će rezultirati rješavanjem imovinsko pravnih odnosa i usklađivanjem zahvata s dokumentom prostornog uređenja.</w:t>
            </w:r>
          </w:p>
        </w:tc>
      </w:tr>
      <w:tr w:rsidR="00E9660C" w:rsidRPr="003A6D7B" w14:paraId="03CAC9D7" w14:textId="77777777" w:rsidTr="00F77A26">
        <w:trPr>
          <w:trHeight w:val="1215"/>
        </w:trPr>
        <w:tc>
          <w:tcPr>
            <w:tcW w:w="2379" w:type="dxa"/>
            <w:shd w:val="clear" w:color="auto" w:fill="auto"/>
            <w:vAlign w:val="center"/>
            <w:hideMark/>
          </w:tcPr>
          <w:p w14:paraId="53CCBD9D"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3.2. Istraživanja i mjerenja na lokaciji Centra</w:t>
            </w:r>
          </w:p>
        </w:tc>
        <w:tc>
          <w:tcPr>
            <w:tcW w:w="1266" w:type="dxa"/>
            <w:shd w:val="clear" w:color="auto" w:fill="auto"/>
            <w:noWrap/>
            <w:vAlign w:val="center"/>
            <w:hideMark/>
          </w:tcPr>
          <w:p w14:paraId="7093072D" w14:textId="7B1E80BF"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209.000 </w:t>
            </w:r>
          </w:p>
        </w:tc>
        <w:tc>
          <w:tcPr>
            <w:tcW w:w="5942" w:type="dxa"/>
            <w:shd w:val="clear" w:color="auto" w:fill="auto"/>
            <w:vAlign w:val="center"/>
            <w:hideMark/>
          </w:tcPr>
          <w:p w14:paraId="53872CB4"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Poslovi i aktivnosti vezani za istražne radove, mjerenja i analize stanja okoliša na lokaciji Centra u osnivanju za potrebe izrade projektne dokumentacije, sigurnosnih analiza i studije utjecaja na okoliš.</w:t>
            </w:r>
          </w:p>
        </w:tc>
      </w:tr>
      <w:tr w:rsidR="00E9660C" w:rsidRPr="003A6D7B" w14:paraId="01EBA84D" w14:textId="77777777" w:rsidTr="00F77A26">
        <w:trPr>
          <w:trHeight w:val="915"/>
        </w:trPr>
        <w:tc>
          <w:tcPr>
            <w:tcW w:w="2379" w:type="dxa"/>
            <w:shd w:val="clear" w:color="auto" w:fill="auto"/>
            <w:vAlign w:val="center"/>
            <w:hideMark/>
          </w:tcPr>
          <w:p w14:paraId="15ADE56B"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3.3. Aktivnosti i dokumentacija za projektiranje, analizu sigurnosti i procjenu utjecaja na okoliš</w:t>
            </w:r>
          </w:p>
        </w:tc>
        <w:tc>
          <w:tcPr>
            <w:tcW w:w="1266" w:type="dxa"/>
            <w:shd w:val="clear" w:color="auto" w:fill="auto"/>
            <w:noWrap/>
            <w:vAlign w:val="center"/>
            <w:hideMark/>
          </w:tcPr>
          <w:p w14:paraId="4B470912" w14:textId="5AC2B158"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864.500 </w:t>
            </w:r>
          </w:p>
        </w:tc>
        <w:tc>
          <w:tcPr>
            <w:tcW w:w="5942" w:type="dxa"/>
            <w:shd w:val="clear" w:color="auto" w:fill="auto"/>
            <w:vAlign w:val="center"/>
            <w:hideMark/>
          </w:tcPr>
          <w:p w14:paraId="7F33D126"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Izrada projektne dokumentacije, studija i ostalih dokumenata potrebnih za ishođenje lokacijske i građevinske dozvole za Centar u osnivanju.</w:t>
            </w:r>
          </w:p>
        </w:tc>
      </w:tr>
      <w:tr w:rsidR="00E9660C" w:rsidRPr="003A6D7B" w14:paraId="61C6ACD0" w14:textId="77777777" w:rsidTr="00F77A26">
        <w:trPr>
          <w:trHeight w:val="915"/>
        </w:trPr>
        <w:tc>
          <w:tcPr>
            <w:tcW w:w="2379" w:type="dxa"/>
            <w:shd w:val="clear" w:color="auto" w:fill="auto"/>
            <w:vAlign w:val="center"/>
            <w:hideMark/>
          </w:tcPr>
          <w:p w14:paraId="1939DE0F" w14:textId="386B553A"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3.</w:t>
            </w:r>
            <w:r w:rsidR="00AA2152" w:rsidRPr="003A6D7B">
              <w:rPr>
                <w:rFonts w:ascii="Times New Roman" w:eastAsia="Times New Roman" w:hAnsi="Times New Roman" w:cs="Times New Roman"/>
                <w:color w:val="auto"/>
                <w:lang w:eastAsia="hr-HR"/>
              </w:rPr>
              <w:t>4</w:t>
            </w:r>
            <w:r w:rsidRPr="003A6D7B">
              <w:rPr>
                <w:rFonts w:ascii="Times New Roman" w:eastAsia="Times New Roman" w:hAnsi="Times New Roman" w:cs="Times New Roman"/>
                <w:color w:val="auto"/>
                <w:lang w:eastAsia="hr-HR"/>
              </w:rPr>
              <w:t>. Opći poslovi uspostave Centra</w:t>
            </w:r>
          </w:p>
        </w:tc>
        <w:tc>
          <w:tcPr>
            <w:tcW w:w="1266" w:type="dxa"/>
            <w:shd w:val="clear" w:color="auto" w:fill="auto"/>
            <w:noWrap/>
            <w:vAlign w:val="center"/>
            <w:hideMark/>
          </w:tcPr>
          <w:p w14:paraId="5C08B3BF" w14:textId="475B09AA"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384.000 </w:t>
            </w:r>
          </w:p>
        </w:tc>
        <w:tc>
          <w:tcPr>
            <w:tcW w:w="5942" w:type="dxa"/>
            <w:shd w:val="clear" w:color="auto" w:fill="auto"/>
            <w:vAlign w:val="center"/>
            <w:hideMark/>
          </w:tcPr>
          <w:p w14:paraId="54E49F78"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Popratne aktivnosti vezane uz zaštitarsku službu na lokaciji, održavanje opreme, razminiranje dijelova lokacije I slično.</w:t>
            </w:r>
          </w:p>
        </w:tc>
      </w:tr>
      <w:tr w:rsidR="00E9660C" w:rsidRPr="003A6D7B" w14:paraId="13103EB0" w14:textId="77777777" w:rsidTr="00F77A26">
        <w:trPr>
          <w:trHeight w:val="615"/>
        </w:trPr>
        <w:tc>
          <w:tcPr>
            <w:tcW w:w="2379" w:type="dxa"/>
            <w:shd w:val="clear" w:color="auto" w:fill="auto"/>
            <w:vAlign w:val="center"/>
            <w:hideMark/>
          </w:tcPr>
          <w:p w14:paraId="1DE088D2" w14:textId="77777777" w:rsidR="00E9660C" w:rsidRPr="003A6D7B" w:rsidRDefault="00E9660C" w:rsidP="00E9660C">
            <w:pPr>
              <w:spacing w:after="0" w:line="240" w:lineRule="auto"/>
              <w:jc w:val="lef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4. Zbrinjavanje IRAO i II</w:t>
            </w:r>
          </w:p>
        </w:tc>
        <w:tc>
          <w:tcPr>
            <w:tcW w:w="1266" w:type="dxa"/>
            <w:shd w:val="clear" w:color="auto" w:fill="auto"/>
            <w:noWrap/>
            <w:vAlign w:val="center"/>
            <w:hideMark/>
          </w:tcPr>
          <w:p w14:paraId="49EDB149" w14:textId="3C6F8251" w:rsidR="00E9660C" w:rsidRPr="003A6D7B" w:rsidRDefault="00E9660C" w:rsidP="00B16479">
            <w:pPr>
              <w:spacing w:after="0" w:line="240" w:lineRule="auto"/>
              <w:jc w:val="right"/>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color w:val="000000"/>
                <w:lang w:eastAsia="hr-HR"/>
              </w:rPr>
              <w:t xml:space="preserve">         </w:t>
            </w:r>
            <w:r w:rsidRPr="003A6D7B">
              <w:rPr>
                <w:rFonts w:ascii="Times New Roman" w:eastAsia="Times New Roman" w:hAnsi="Times New Roman" w:cs="Times New Roman"/>
                <w:b/>
                <w:bCs/>
                <w:color w:val="000000"/>
                <w:lang w:eastAsia="hr-HR"/>
              </w:rPr>
              <w:t xml:space="preserve">51.000 </w:t>
            </w:r>
          </w:p>
        </w:tc>
        <w:tc>
          <w:tcPr>
            <w:tcW w:w="5942" w:type="dxa"/>
            <w:shd w:val="clear" w:color="auto" w:fill="auto"/>
            <w:vAlign w:val="center"/>
            <w:hideMark/>
          </w:tcPr>
          <w:p w14:paraId="3EB724EC" w14:textId="30599FD4" w:rsidR="00E9660C" w:rsidRPr="003A6D7B" w:rsidRDefault="00406544"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Pripremne</w:t>
            </w:r>
            <w:r w:rsidR="00993B9C" w:rsidRPr="003A6D7B">
              <w:rPr>
                <w:rFonts w:ascii="Times New Roman" w:eastAsia="Times New Roman" w:hAnsi="Times New Roman" w:cs="Times New Roman"/>
                <w:color w:val="000000"/>
                <w:lang w:eastAsia="hr-HR"/>
              </w:rPr>
              <w:t xml:space="preserve"> aktivnosti za prikupljanje </w:t>
            </w:r>
            <w:r w:rsidR="00F56418" w:rsidRPr="003A6D7B">
              <w:rPr>
                <w:rFonts w:ascii="Times New Roman" w:eastAsia="Times New Roman" w:hAnsi="Times New Roman" w:cs="Times New Roman"/>
                <w:color w:val="000000"/>
                <w:lang w:eastAsia="hr-HR"/>
              </w:rPr>
              <w:t>i</w:t>
            </w:r>
            <w:r w:rsidR="00993B9C" w:rsidRPr="003A6D7B">
              <w:rPr>
                <w:rFonts w:ascii="Times New Roman" w:eastAsia="Times New Roman" w:hAnsi="Times New Roman" w:cs="Times New Roman"/>
                <w:color w:val="000000"/>
                <w:lang w:eastAsia="hr-HR"/>
              </w:rPr>
              <w:t xml:space="preserve"> zbrinjavanje Institucionalnog RAO</w:t>
            </w:r>
          </w:p>
        </w:tc>
      </w:tr>
      <w:tr w:rsidR="00E9660C" w:rsidRPr="003A6D7B" w14:paraId="2FF3D885" w14:textId="77777777" w:rsidTr="00F77A26">
        <w:trPr>
          <w:trHeight w:val="360"/>
        </w:trPr>
        <w:tc>
          <w:tcPr>
            <w:tcW w:w="2379" w:type="dxa"/>
            <w:shd w:val="clear" w:color="auto" w:fill="auto"/>
            <w:vAlign w:val="center"/>
            <w:hideMark/>
          </w:tcPr>
          <w:p w14:paraId="178AE97C" w14:textId="77777777" w:rsidR="00E9660C" w:rsidRPr="003A6D7B" w:rsidRDefault="00E9660C" w:rsidP="00E9660C">
            <w:pPr>
              <w:spacing w:after="0" w:line="240" w:lineRule="auto"/>
              <w:jc w:val="lef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5. Preuzimanje NSRAO-a iz NE Krško</w:t>
            </w:r>
          </w:p>
        </w:tc>
        <w:tc>
          <w:tcPr>
            <w:tcW w:w="1266" w:type="dxa"/>
            <w:shd w:val="clear" w:color="auto" w:fill="auto"/>
            <w:noWrap/>
            <w:vAlign w:val="center"/>
            <w:hideMark/>
          </w:tcPr>
          <w:p w14:paraId="472BE86D" w14:textId="27737C6B" w:rsidR="00E9660C" w:rsidRPr="003A6D7B" w:rsidRDefault="00E9660C" w:rsidP="00B16479">
            <w:pPr>
              <w:spacing w:after="0" w:line="240" w:lineRule="auto"/>
              <w:jc w:val="right"/>
              <w:rPr>
                <w:rFonts w:ascii="Times New Roman" w:eastAsia="Times New Roman" w:hAnsi="Times New Roman" w:cs="Times New Roman"/>
                <w:b/>
                <w:bCs/>
                <w:color w:val="000000"/>
                <w:lang w:eastAsia="hr-HR"/>
              </w:rPr>
            </w:pPr>
            <w:r w:rsidRPr="003A6D7B">
              <w:rPr>
                <w:rFonts w:ascii="Times New Roman" w:eastAsia="Times New Roman" w:hAnsi="Times New Roman" w:cs="Times New Roman"/>
                <w:color w:val="000000"/>
                <w:lang w:eastAsia="hr-HR"/>
              </w:rPr>
              <w:t xml:space="preserve">  </w:t>
            </w:r>
            <w:r w:rsidRPr="003A6D7B">
              <w:rPr>
                <w:rFonts w:ascii="Times New Roman" w:eastAsia="Times New Roman" w:hAnsi="Times New Roman" w:cs="Times New Roman"/>
                <w:b/>
                <w:bCs/>
                <w:color w:val="000000"/>
                <w:lang w:eastAsia="hr-HR"/>
              </w:rPr>
              <w:t>2.</w:t>
            </w:r>
            <w:r w:rsidR="00993B9C" w:rsidRPr="003A6D7B">
              <w:rPr>
                <w:rFonts w:ascii="Times New Roman" w:eastAsia="Times New Roman" w:hAnsi="Times New Roman" w:cs="Times New Roman"/>
                <w:b/>
                <w:bCs/>
                <w:color w:val="000000"/>
                <w:lang w:eastAsia="hr-HR"/>
              </w:rPr>
              <w:t>319</w:t>
            </w:r>
            <w:r w:rsidRPr="003A6D7B">
              <w:rPr>
                <w:rFonts w:ascii="Times New Roman" w:eastAsia="Times New Roman" w:hAnsi="Times New Roman" w:cs="Times New Roman"/>
                <w:b/>
                <w:bCs/>
                <w:color w:val="000000"/>
                <w:lang w:eastAsia="hr-HR"/>
              </w:rPr>
              <w:t>.500</w:t>
            </w:r>
          </w:p>
        </w:tc>
        <w:tc>
          <w:tcPr>
            <w:tcW w:w="5942" w:type="dxa"/>
            <w:shd w:val="clear" w:color="auto" w:fill="auto"/>
            <w:vAlign w:val="center"/>
            <w:hideMark/>
          </w:tcPr>
          <w:p w14:paraId="7A808824"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w:t>
            </w:r>
          </w:p>
        </w:tc>
      </w:tr>
      <w:tr w:rsidR="00E9660C" w:rsidRPr="003A6D7B" w14:paraId="50816008" w14:textId="77777777" w:rsidTr="00F77A26">
        <w:trPr>
          <w:trHeight w:val="2415"/>
        </w:trPr>
        <w:tc>
          <w:tcPr>
            <w:tcW w:w="2379" w:type="dxa"/>
            <w:shd w:val="clear" w:color="auto" w:fill="auto"/>
            <w:vAlign w:val="center"/>
            <w:hideMark/>
          </w:tcPr>
          <w:p w14:paraId="38C64181"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5.1. Usluga obrade, kondicioniranja, pakiranja i transporta 1. faze hrvatske polovice operativnog NSRAO iz NEK-a</w:t>
            </w:r>
          </w:p>
        </w:tc>
        <w:tc>
          <w:tcPr>
            <w:tcW w:w="1266" w:type="dxa"/>
            <w:shd w:val="clear" w:color="auto" w:fill="auto"/>
            <w:noWrap/>
            <w:vAlign w:val="center"/>
            <w:hideMark/>
          </w:tcPr>
          <w:p w14:paraId="28CBCDE1" w14:textId="77B604B5"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w:t>
            </w:r>
            <w:r w:rsidR="00474EE1" w:rsidRPr="003A6D7B">
              <w:rPr>
                <w:rFonts w:ascii="Times New Roman" w:eastAsia="Times New Roman" w:hAnsi="Times New Roman" w:cs="Times New Roman"/>
                <w:color w:val="000000"/>
                <w:lang w:eastAsia="hr-HR"/>
              </w:rPr>
              <w:t>523</w:t>
            </w:r>
            <w:r w:rsidRPr="003A6D7B">
              <w:rPr>
                <w:rFonts w:ascii="Times New Roman" w:eastAsia="Times New Roman" w:hAnsi="Times New Roman" w:cs="Times New Roman"/>
                <w:color w:val="000000"/>
                <w:lang w:eastAsia="hr-HR"/>
              </w:rPr>
              <w:t xml:space="preserve">.000 </w:t>
            </w:r>
          </w:p>
        </w:tc>
        <w:tc>
          <w:tcPr>
            <w:tcW w:w="5942" w:type="dxa"/>
            <w:shd w:val="clear" w:color="auto" w:fill="auto"/>
            <w:vAlign w:val="center"/>
            <w:hideMark/>
          </w:tcPr>
          <w:p w14:paraId="2DA5E650"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Ugovaranje usluge odvoza, karakterizacije i skladištenje te kondicioniranja prvog dijela hrvatske polovice NSRAO iz NE Krško te prijevoz na lokaciji Centra za zbrinjavanje RAO. Sukladno odluci MDP-a u prvoj fazi Hrvatska strana treba odvesti s lokacije NE Krško 617 D6 bačava na zbrinjavanje u inozemstvo, koje će se po dobivanju svih potrebnih dozvola za skladište NSRAO prevesti u Centar za zbrinjavanje radioaktivnog otpada u Hrvatskoj.</w:t>
            </w:r>
          </w:p>
        </w:tc>
      </w:tr>
      <w:tr w:rsidR="00E9660C" w:rsidRPr="003A6D7B" w14:paraId="7319F14D" w14:textId="77777777" w:rsidTr="00F77A26">
        <w:trPr>
          <w:trHeight w:val="1515"/>
        </w:trPr>
        <w:tc>
          <w:tcPr>
            <w:tcW w:w="2379" w:type="dxa"/>
            <w:shd w:val="clear" w:color="auto" w:fill="auto"/>
            <w:vAlign w:val="center"/>
            <w:hideMark/>
          </w:tcPr>
          <w:p w14:paraId="0E4DEC00"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lastRenderedPageBreak/>
              <w:t>5.2. Usluga obrade, kondicioniranja, pakiranja i transporta 2. faze hrvatske polovice operativnog NSRAO iz NEK-a</w:t>
            </w:r>
          </w:p>
        </w:tc>
        <w:tc>
          <w:tcPr>
            <w:tcW w:w="1266" w:type="dxa"/>
            <w:shd w:val="clear" w:color="auto" w:fill="auto"/>
            <w:noWrap/>
            <w:vAlign w:val="center"/>
            <w:hideMark/>
          </w:tcPr>
          <w:p w14:paraId="5E636E5A" w14:textId="328EA526"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w:t>
            </w:r>
            <w:r w:rsidR="00474EE1" w:rsidRPr="003A6D7B">
              <w:rPr>
                <w:rFonts w:ascii="Times New Roman" w:eastAsia="Times New Roman" w:hAnsi="Times New Roman" w:cs="Times New Roman"/>
                <w:color w:val="000000"/>
                <w:lang w:eastAsia="hr-HR"/>
              </w:rPr>
              <w:t>325</w:t>
            </w:r>
            <w:r w:rsidRPr="003A6D7B">
              <w:rPr>
                <w:rFonts w:ascii="Times New Roman" w:eastAsia="Times New Roman" w:hAnsi="Times New Roman" w:cs="Times New Roman"/>
                <w:color w:val="000000"/>
                <w:lang w:eastAsia="hr-HR"/>
              </w:rPr>
              <w:t xml:space="preserve">.500 </w:t>
            </w:r>
          </w:p>
        </w:tc>
        <w:tc>
          <w:tcPr>
            <w:tcW w:w="5942" w:type="dxa"/>
            <w:shd w:val="clear" w:color="auto" w:fill="auto"/>
            <w:vAlign w:val="center"/>
            <w:hideMark/>
          </w:tcPr>
          <w:p w14:paraId="278D4EEF"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Procijenjeni troškovi za  scenarij preuzimanja 2. dijela Hrvatske polovice otpada, prema kojemu se veći dio hrvatske polovice NSRAO-a iz NE Krško koji ostaje nakon odvoza D6 bačava i spaljivanja primarnih smola može kondicionirati i pakirati na lokaciji NE Krško. </w:t>
            </w:r>
          </w:p>
        </w:tc>
      </w:tr>
      <w:tr w:rsidR="00E9660C" w:rsidRPr="003A6D7B" w14:paraId="088D32BD" w14:textId="77777777" w:rsidTr="00F77A26">
        <w:trPr>
          <w:trHeight w:val="2115"/>
        </w:trPr>
        <w:tc>
          <w:tcPr>
            <w:tcW w:w="2379" w:type="dxa"/>
            <w:shd w:val="clear" w:color="auto" w:fill="auto"/>
            <w:vAlign w:val="center"/>
            <w:hideMark/>
          </w:tcPr>
          <w:p w14:paraId="454B05F1"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5.3. Spaljivanje primarnih smola iz NE Krško</w:t>
            </w:r>
          </w:p>
        </w:tc>
        <w:tc>
          <w:tcPr>
            <w:tcW w:w="1266" w:type="dxa"/>
            <w:shd w:val="clear" w:color="auto" w:fill="auto"/>
            <w:noWrap/>
            <w:vAlign w:val="center"/>
            <w:hideMark/>
          </w:tcPr>
          <w:p w14:paraId="6A2FC8D6" w14:textId="136A0265"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     1.250.00</w:t>
            </w:r>
            <w:r w:rsidR="001655B3" w:rsidRPr="003A6D7B">
              <w:rPr>
                <w:rFonts w:ascii="Times New Roman" w:eastAsia="Times New Roman" w:hAnsi="Times New Roman" w:cs="Times New Roman"/>
                <w:color w:val="000000"/>
                <w:lang w:eastAsia="hr-HR"/>
              </w:rPr>
              <w:t>0</w:t>
            </w:r>
          </w:p>
        </w:tc>
        <w:tc>
          <w:tcPr>
            <w:tcW w:w="5942" w:type="dxa"/>
            <w:shd w:val="clear" w:color="auto" w:fill="auto"/>
            <w:vAlign w:val="center"/>
            <w:hideMark/>
          </w:tcPr>
          <w:p w14:paraId="4638B539"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NE Krško pokreće nabavu usluge spaljivanja 177 bačava (208L) primarnih smola uskladištenih u internom skladištu NSRAO u NE Krško. Nakon spaljivanja u NE Krško s vraćaju bačve s pepelom (zacementirane u dodatni natpaket - 208 l bačvu).Procijenjena ukupna vrijednost je oko 4 mil €. Obveza Fonda je 50% a podijeljena je na 50% u 2023. i 50% u 2024.</w:t>
            </w:r>
          </w:p>
        </w:tc>
      </w:tr>
      <w:tr w:rsidR="00E9660C" w:rsidRPr="003A6D7B" w14:paraId="0BBF5AF1" w14:textId="77777777" w:rsidTr="00F77A26">
        <w:trPr>
          <w:trHeight w:val="2380"/>
        </w:trPr>
        <w:tc>
          <w:tcPr>
            <w:tcW w:w="2379" w:type="dxa"/>
            <w:shd w:val="clear" w:color="auto" w:fill="auto"/>
            <w:vAlign w:val="center"/>
            <w:hideMark/>
          </w:tcPr>
          <w:p w14:paraId="2BE026C5" w14:textId="77777777" w:rsidR="00E9660C" w:rsidRPr="003A6D7B" w:rsidRDefault="00E9660C" w:rsidP="00E9660C">
            <w:pPr>
              <w:spacing w:after="0" w:line="240" w:lineRule="auto"/>
              <w:jc w:val="left"/>
              <w:rPr>
                <w:rFonts w:ascii="Times New Roman" w:eastAsia="Times New Roman" w:hAnsi="Times New Roman" w:cs="Times New Roman"/>
                <w:color w:val="auto"/>
                <w:lang w:eastAsia="hr-HR"/>
              </w:rPr>
            </w:pPr>
            <w:r w:rsidRPr="003A6D7B">
              <w:rPr>
                <w:rFonts w:ascii="Times New Roman" w:eastAsia="Times New Roman" w:hAnsi="Times New Roman" w:cs="Times New Roman"/>
                <w:color w:val="auto"/>
                <w:lang w:eastAsia="hr-HR"/>
              </w:rPr>
              <w:t>5.4. Razgradnja starih parogeneratora iz NE Krško</w:t>
            </w:r>
          </w:p>
        </w:tc>
        <w:tc>
          <w:tcPr>
            <w:tcW w:w="1266" w:type="dxa"/>
            <w:shd w:val="clear" w:color="auto" w:fill="auto"/>
            <w:noWrap/>
            <w:vAlign w:val="center"/>
            <w:hideMark/>
          </w:tcPr>
          <w:p w14:paraId="513C308D" w14:textId="56E66547" w:rsidR="00E9660C" w:rsidRPr="003A6D7B" w:rsidRDefault="00E9660C" w:rsidP="00B16479">
            <w:pPr>
              <w:spacing w:after="0" w:line="240" w:lineRule="auto"/>
              <w:jc w:val="righ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221.000</w:t>
            </w:r>
          </w:p>
        </w:tc>
        <w:tc>
          <w:tcPr>
            <w:tcW w:w="5942" w:type="dxa"/>
            <w:shd w:val="clear" w:color="auto" w:fill="auto"/>
            <w:vAlign w:val="center"/>
            <w:hideMark/>
          </w:tcPr>
          <w:p w14:paraId="0D1F7B06"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xml:space="preserve">Razgradnja starih parogeneratora, uskladištenih u zgradi za dekontaminaciju NE Krško planirana je tijekom razgradnje postrojenja (2044. godine) Kako bi se oslobodio dodatni prostor za privremeno skladištenje skladišno-odlagališnih kontejnera (N2d i RCC), NE Krško je pokrenulo projekt ranije razgradnje starih parogeneratora.  Procijenjeni trošak za Fond podijeljen je po godinama: 5% iznosa za izradu studije u 2023. godini, 15% iznosa za odvoz parogeneratora u 2024. te preostalo nakon kondicioniranja u 2027. godini.  </w:t>
            </w:r>
          </w:p>
        </w:tc>
      </w:tr>
      <w:tr w:rsidR="00E9660C" w:rsidRPr="003A6D7B" w14:paraId="28077DE4" w14:textId="77777777" w:rsidTr="00F77A26">
        <w:trPr>
          <w:trHeight w:val="694"/>
        </w:trPr>
        <w:tc>
          <w:tcPr>
            <w:tcW w:w="2379" w:type="dxa"/>
            <w:shd w:val="clear" w:color="auto" w:fill="C5E0B3" w:themeFill="accent6" w:themeFillTint="66"/>
            <w:vAlign w:val="center"/>
            <w:hideMark/>
          </w:tcPr>
          <w:p w14:paraId="47108726" w14:textId="7CB29975" w:rsidR="00E9660C" w:rsidRPr="003A6D7B" w:rsidRDefault="00E9660C" w:rsidP="00E9660C">
            <w:pPr>
              <w:spacing w:after="0" w:line="240" w:lineRule="auto"/>
              <w:jc w:val="lef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Ukupni rashodi</w:t>
            </w:r>
            <w:r w:rsidR="001655B3" w:rsidRPr="003A6D7B">
              <w:rPr>
                <w:rFonts w:ascii="Times New Roman" w:eastAsia="Times New Roman" w:hAnsi="Times New Roman" w:cs="Times New Roman"/>
                <w:b/>
                <w:bCs/>
                <w:color w:val="auto"/>
                <w:lang w:eastAsia="hr-HR"/>
              </w:rPr>
              <w:t xml:space="preserve"> RAO </w:t>
            </w:r>
          </w:p>
        </w:tc>
        <w:tc>
          <w:tcPr>
            <w:tcW w:w="1266" w:type="dxa"/>
            <w:shd w:val="clear" w:color="auto" w:fill="C5E0B3" w:themeFill="accent6" w:themeFillTint="66"/>
            <w:vAlign w:val="center"/>
            <w:hideMark/>
          </w:tcPr>
          <w:p w14:paraId="601D8E1A" w14:textId="7D0BDD90" w:rsidR="00E9660C" w:rsidRPr="003A6D7B" w:rsidRDefault="00E9660C" w:rsidP="00B16479">
            <w:pPr>
              <w:spacing w:after="0" w:line="240" w:lineRule="auto"/>
              <w:jc w:val="right"/>
              <w:rPr>
                <w:rFonts w:ascii="Times New Roman" w:eastAsia="Times New Roman" w:hAnsi="Times New Roman" w:cs="Times New Roman"/>
                <w:b/>
                <w:bCs/>
                <w:color w:val="auto"/>
                <w:lang w:eastAsia="hr-HR"/>
              </w:rPr>
            </w:pPr>
            <w:r w:rsidRPr="003A6D7B">
              <w:rPr>
                <w:rFonts w:ascii="Times New Roman" w:eastAsia="Times New Roman" w:hAnsi="Times New Roman" w:cs="Times New Roman"/>
                <w:b/>
                <w:bCs/>
                <w:color w:val="auto"/>
                <w:lang w:eastAsia="hr-HR"/>
              </w:rPr>
              <w:t>4.4</w:t>
            </w:r>
            <w:r w:rsidR="00993B9C" w:rsidRPr="003A6D7B">
              <w:rPr>
                <w:rFonts w:ascii="Times New Roman" w:eastAsia="Times New Roman" w:hAnsi="Times New Roman" w:cs="Times New Roman"/>
                <w:b/>
                <w:bCs/>
                <w:color w:val="auto"/>
                <w:lang w:eastAsia="hr-HR"/>
              </w:rPr>
              <w:t>9</w:t>
            </w:r>
            <w:r w:rsidRPr="003A6D7B">
              <w:rPr>
                <w:rFonts w:ascii="Times New Roman" w:eastAsia="Times New Roman" w:hAnsi="Times New Roman" w:cs="Times New Roman"/>
                <w:b/>
                <w:bCs/>
                <w:color w:val="auto"/>
                <w:lang w:eastAsia="hr-HR"/>
              </w:rPr>
              <w:t>4.000</w:t>
            </w:r>
          </w:p>
        </w:tc>
        <w:tc>
          <w:tcPr>
            <w:tcW w:w="5942" w:type="dxa"/>
            <w:shd w:val="clear" w:color="auto" w:fill="C5E0B3" w:themeFill="accent6" w:themeFillTint="66"/>
            <w:vAlign w:val="center"/>
            <w:hideMark/>
          </w:tcPr>
          <w:p w14:paraId="68E1585B" w14:textId="77777777" w:rsidR="00E9660C" w:rsidRPr="003A6D7B" w:rsidRDefault="00E9660C" w:rsidP="00B16479">
            <w:pPr>
              <w:spacing w:after="0" w:line="240" w:lineRule="auto"/>
              <w:jc w:val="left"/>
              <w:rPr>
                <w:rFonts w:ascii="Times New Roman" w:eastAsia="Times New Roman" w:hAnsi="Times New Roman" w:cs="Times New Roman"/>
                <w:color w:val="000000"/>
                <w:lang w:eastAsia="hr-HR"/>
              </w:rPr>
            </w:pPr>
            <w:r w:rsidRPr="003A6D7B">
              <w:rPr>
                <w:rFonts w:ascii="Times New Roman" w:eastAsia="Times New Roman" w:hAnsi="Times New Roman" w:cs="Times New Roman"/>
                <w:color w:val="000000"/>
                <w:lang w:eastAsia="hr-HR"/>
              </w:rPr>
              <w:t> </w:t>
            </w:r>
          </w:p>
        </w:tc>
      </w:tr>
    </w:tbl>
    <w:p w14:paraId="6CABDC7D" w14:textId="77777777" w:rsidR="00F77A26" w:rsidRPr="003A6D7B" w:rsidRDefault="00F77A26" w:rsidP="002B785C">
      <w:pPr>
        <w:rPr>
          <w:rFonts w:ascii="Times New Roman" w:hAnsi="Times New Roman" w:cs="Times New Roman"/>
        </w:rPr>
      </w:pPr>
    </w:p>
    <w:p w14:paraId="5B5E82FA" w14:textId="22F2F28F" w:rsidR="00E92266" w:rsidRPr="003A6D7B" w:rsidRDefault="00B16479" w:rsidP="00F77A26">
      <w:pPr>
        <w:pStyle w:val="Caption"/>
        <w:keepNext/>
        <w:spacing w:after="0"/>
        <w:rPr>
          <w:rFonts w:ascii="Times New Roman" w:hAnsi="Times New Roman" w:cs="Times New Roman"/>
          <w:i w:val="0"/>
          <w:iCs w:val="0"/>
          <w:sz w:val="22"/>
          <w:szCs w:val="22"/>
        </w:rPr>
      </w:pPr>
      <w:r w:rsidRPr="003A6D7B">
        <w:rPr>
          <w:rFonts w:ascii="Times New Roman" w:hAnsi="Times New Roman" w:cs="Times New Roman"/>
          <w:i w:val="0"/>
          <w:iCs w:val="0"/>
          <w:sz w:val="22"/>
          <w:szCs w:val="22"/>
        </w:rPr>
        <w:t>Tablica 2 – Planirani troškovi i investicije – Odnosi s javnošću</w:t>
      </w:r>
    </w:p>
    <w:tbl>
      <w:tblPr>
        <w:tblpPr w:leftFromText="180" w:rightFromText="180" w:vertAnchor="text" w:horzAnchor="page" w:tblpX="1472" w:tblpY="236"/>
        <w:tblW w:w="5000" w:type="pct"/>
        <w:tblLayout w:type="fixed"/>
        <w:tblCellMar>
          <w:top w:w="28" w:type="dxa"/>
          <w:left w:w="57" w:type="dxa"/>
          <w:bottom w:w="28" w:type="dxa"/>
          <w:right w:w="57" w:type="dxa"/>
        </w:tblCellMar>
        <w:tblLook w:val="04A0" w:firstRow="1" w:lastRow="0" w:firstColumn="1" w:lastColumn="0" w:noHBand="0" w:noVBand="1"/>
      </w:tblPr>
      <w:tblGrid>
        <w:gridCol w:w="2295"/>
        <w:gridCol w:w="1223"/>
        <w:gridCol w:w="6053"/>
      </w:tblGrid>
      <w:tr w:rsidR="00DE287E" w:rsidRPr="003A6D7B" w14:paraId="21E6F664" w14:textId="77777777" w:rsidTr="008F5B18">
        <w:trPr>
          <w:tblHeader/>
        </w:trPr>
        <w:tc>
          <w:tcPr>
            <w:tcW w:w="1199" w:type="pct"/>
            <w:tcBorders>
              <w:top w:val="double" w:sz="6" w:space="0" w:color="auto"/>
              <w:left w:val="double" w:sz="6" w:space="0" w:color="auto"/>
              <w:bottom w:val="single" w:sz="4" w:space="0" w:color="auto"/>
              <w:right w:val="double" w:sz="6" w:space="0" w:color="auto"/>
            </w:tcBorders>
            <w:shd w:val="clear" w:color="auto" w:fill="C5E0B3"/>
            <w:vAlign w:val="center"/>
            <w:hideMark/>
          </w:tcPr>
          <w:p w14:paraId="2054FE93" w14:textId="77777777" w:rsidR="00DE287E" w:rsidRPr="003A6D7B" w:rsidRDefault="00DE287E" w:rsidP="00B533AB">
            <w:pPr>
              <w:spacing w:line="259" w:lineRule="auto"/>
              <w:contextualSpacing/>
              <w:jc w:val="center"/>
              <w:rPr>
                <w:rFonts w:ascii="Times New Roman" w:hAnsi="Times New Roman" w:cs="Times New Roman"/>
                <w:b/>
                <w:bCs/>
                <w:lang w:eastAsia="hr-HR"/>
              </w:rPr>
            </w:pPr>
            <w:r w:rsidRPr="003A6D7B">
              <w:rPr>
                <w:rFonts w:ascii="Times New Roman" w:hAnsi="Times New Roman" w:cs="Times New Roman"/>
                <w:b/>
                <w:bCs/>
                <w:lang w:eastAsia="hr-HR"/>
              </w:rPr>
              <w:t>Aktivnost</w:t>
            </w:r>
          </w:p>
        </w:tc>
        <w:tc>
          <w:tcPr>
            <w:tcW w:w="639" w:type="pct"/>
            <w:tcBorders>
              <w:top w:val="double" w:sz="6" w:space="0" w:color="auto"/>
              <w:left w:val="double" w:sz="6" w:space="0" w:color="auto"/>
              <w:bottom w:val="single" w:sz="4" w:space="0" w:color="auto"/>
              <w:right w:val="double" w:sz="6" w:space="0" w:color="auto"/>
            </w:tcBorders>
            <w:shd w:val="clear" w:color="auto" w:fill="C5E0B3"/>
            <w:vAlign w:val="center"/>
            <w:hideMark/>
          </w:tcPr>
          <w:p w14:paraId="77B716E7" w14:textId="0576F368" w:rsidR="00DE287E" w:rsidRPr="003A6D7B" w:rsidRDefault="00DE287E" w:rsidP="00B533AB">
            <w:pPr>
              <w:spacing w:line="259" w:lineRule="auto"/>
              <w:contextualSpacing/>
              <w:jc w:val="center"/>
              <w:rPr>
                <w:rFonts w:ascii="Times New Roman" w:hAnsi="Times New Roman" w:cs="Times New Roman"/>
                <w:b/>
                <w:bCs/>
                <w:lang w:eastAsia="hr-HR"/>
              </w:rPr>
            </w:pPr>
            <w:r w:rsidRPr="003A6D7B">
              <w:rPr>
                <w:rFonts w:ascii="Times New Roman" w:hAnsi="Times New Roman" w:cs="Times New Roman"/>
                <w:b/>
                <w:bCs/>
                <w:lang w:eastAsia="hr-HR"/>
              </w:rPr>
              <w:t>Plan 2023. (EUR)</w:t>
            </w:r>
          </w:p>
        </w:tc>
        <w:tc>
          <w:tcPr>
            <w:tcW w:w="3162" w:type="pct"/>
            <w:tcBorders>
              <w:top w:val="double" w:sz="6" w:space="0" w:color="auto"/>
              <w:left w:val="double" w:sz="6" w:space="0" w:color="auto"/>
              <w:bottom w:val="single" w:sz="4" w:space="0" w:color="auto"/>
              <w:right w:val="double" w:sz="6" w:space="0" w:color="auto"/>
            </w:tcBorders>
            <w:shd w:val="clear" w:color="auto" w:fill="C5E0B3"/>
            <w:vAlign w:val="center"/>
            <w:hideMark/>
          </w:tcPr>
          <w:p w14:paraId="45F6A363" w14:textId="77777777" w:rsidR="00DE287E" w:rsidRPr="003A6D7B" w:rsidRDefault="00DE287E" w:rsidP="00B533AB">
            <w:pPr>
              <w:spacing w:line="259" w:lineRule="auto"/>
              <w:contextualSpacing/>
              <w:jc w:val="center"/>
              <w:rPr>
                <w:rFonts w:ascii="Times New Roman" w:hAnsi="Times New Roman" w:cs="Times New Roman"/>
                <w:b/>
                <w:bCs/>
                <w:lang w:eastAsia="hr-HR"/>
              </w:rPr>
            </w:pPr>
            <w:r w:rsidRPr="003A6D7B">
              <w:rPr>
                <w:rFonts w:ascii="Times New Roman" w:hAnsi="Times New Roman" w:cs="Times New Roman"/>
                <w:b/>
                <w:bCs/>
                <w:lang w:eastAsia="hr-HR"/>
              </w:rPr>
              <w:t>Opis aktivnosti</w:t>
            </w:r>
          </w:p>
        </w:tc>
      </w:tr>
      <w:tr w:rsidR="00DE287E" w:rsidRPr="003A6D7B" w14:paraId="1164C222" w14:textId="77777777" w:rsidTr="008F5B18">
        <w:tc>
          <w:tcPr>
            <w:tcW w:w="1199" w:type="pct"/>
            <w:tcBorders>
              <w:top w:val="double" w:sz="4" w:space="0" w:color="auto"/>
              <w:left w:val="double" w:sz="6" w:space="0" w:color="auto"/>
              <w:bottom w:val="single" w:sz="4" w:space="0" w:color="auto"/>
              <w:right w:val="double" w:sz="6" w:space="0" w:color="auto"/>
            </w:tcBorders>
            <w:shd w:val="clear" w:color="auto" w:fill="E2EFD9"/>
            <w:vAlign w:val="center"/>
          </w:tcPr>
          <w:p w14:paraId="52B94654" w14:textId="602E0590" w:rsidR="00DE287E" w:rsidRPr="003A6D7B" w:rsidRDefault="001655B3" w:rsidP="00B533AB">
            <w:pPr>
              <w:spacing w:line="259" w:lineRule="auto"/>
              <w:contextualSpacing/>
              <w:jc w:val="left"/>
              <w:rPr>
                <w:rFonts w:ascii="Times New Roman" w:eastAsia="Calibri" w:hAnsi="Times New Roman" w:cs="Times New Roman"/>
                <w:b/>
                <w:bCs/>
                <w:lang w:eastAsia="hr-HR"/>
              </w:rPr>
            </w:pPr>
            <w:r w:rsidRPr="003A6D7B">
              <w:rPr>
                <w:rFonts w:ascii="Times New Roman" w:eastAsia="Calibri" w:hAnsi="Times New Roman" w:cs="Times New Roman"/>
                <w:b/>
                <w:bCs/>
                <w:lang w:eastAsia="hr-HR"/>
              </w:rPr>
              <w:t>6</w:t>
            </w:r>
            <w:r w:rsidR="00DE287E" w:rsidRPr="003A6D7B">
              <w:rPr>
                <w:rFonts w:ascii="Times New Roman" w:eastAsia="Calibri" w:hAnsi="Times New Roman" w:cs="Times New Roman"/>
                <w:b/>
                <w:bCs/>
                <w:lang w:eastAsia="hr-HR"/>
              </w:rPr>
              <w:t xml:space="preserve">. Odnosi s javnošću </w:t>
            </w:r>
          </w:p>
        </w:tc>
        <w:tc>
          <w:tcPr>
            <w:tcW w:w="639" w:type="pct"/>
            <w:tcBorders>
              <w:top w:val="double" w:sz="4" w:space="0" w:color="auto"/>
              <w:left w:val="double" w:sz="6" w:space="0" w:color="auto"/>
              <w:bottom w:val="single" w:sz="4" w:space="0" w:color="auto"/>
              <w:right w:val="double" w:sz="6" w:space="0" w:color="auto"/>
            </w:tcBorders>
            <w:shd w:val="clear" w:color="auto" w:fill="E2EFD9"/>
            <w:vAlign w:val="center"/>
          </w:tcPr>
          <w:p w14:paraId="28CBF25D" w14:textId="77777777" w:rsidR="00DE287E" w:rsidRPr="003A6D7B" w:rsidRDefault="00DE287E" w:rsidP="00B533AB">
            <w:pPr>
              <w:spacing w:line="259" w:lineRule="auto"/>
              <w:contextualSpacing/>
              <w:jc w:val="center"/>
              <w:rPr>
                <w:rFonts w:ascii="Times New Roman" w:eastAsia="Calibri" w:hAnsi="Times New Roman" w:cs="Times New Roman"/>
              </w:rPr>
            </w:pPr>
          </w:p>
        </w:tc>
        <w:tc>
          <w:tcPr>
            <w:tcW w:w="3162" w:type="pct"/>
            <w:tcBorders>
              <w:top w:val="double" w:sz="4" w:space="0" w:color="auto"/>
              <w:left w:val="double" w:sz="6" w:space="0" w:color="auto"/>
              <w:bottom w:val="single" w:sz="4" w:space="0" w:color="auto"/>
              <w:right w:val="double" w:sz="6" w:space="0" w:color="auto"/>
            </w:tcBorders>
            <w:shd w:val="clear" w:color="auto" w:fill="E2EFD9"/>
            <w:vAlign w:val="center"/>
          </w:tcPr>
          <w:p w14:paraId="331D9834" w14:textId="77777777" w:rsidR="00DE287E" w:rsidRPr="003A6D7B" w:rsidRDefault="00DE287E" w:rsidP="00B533AB">
            <w:pPr>
              <w:spacing w:line="259" w:lineRule="auto"/>
              <w:contextualSpacing/>
              <w:jc w:val="left"/>
              <w:rPr>
                <w:rFonts w:ascii="Times New Roman" w:eastAsia="Calibri" w:hAnsi="Times New Roman" w:cs="Times New Roman"/>
                <w:b/>
                <w:bCs/>
                <w:lang w:eastAsia="hr-HR"/>
              </w:rPr>
            </w:pPr>
          </w:p>
        </w:tc>
      </w:tr>
      <w:tr w:rsidR="00DE287E" w:rsidRPr="003A6D7B" w14:paraId="55650FAD" w14:textId="77777777" w:rsidTr="008F5B18">
        <w:tc>
          <w:tcPr>
            <w:tcW w:w="1199" w:type="pct"/>
            <w:tcBorders>
              <w:top w:val="single" w:sz="4" w:space="0" w:color="auto"/>
              <w:left w:val="double" w:sz="6" w:space="0" w:color="auto"/>
              <w:bottom w:val="single" w:sz="4" w:space="0" w:color="auto"/>
              <w:right w:val="double" w:sz="6" w:space="0" w:color="auto"/>
            </w:tcBorders>
            <w:shd w:val="clear" w:color="auto" w:fill="auto"/>
            <w:vAlign w:val="center"/>
          </w:tcPr>
          <w:p w14:paraId="61785184" w14:textId="4C8A8387" w:rsidR="00DE287E" w:rsidRPr="003A6D7B" w:rsidRDefault="001655B3" w:rsidP="00B533AB">
            <w:pPr>
              <w:spacing w:line="259" w:lineRule="auto"/>
              <w:contextualSpacing/>
              <w:jc w:val="left"/>
              <w:rPr>
                <w:rFonts w:ascii="Times New Roman" w:eastAsia="Calibri" w:hAnsi="Times New Roman" w:cs="Times New Roman"/>
                <w:lang w:eastAsia="hr-HR"/>
              </w:rPr>
            </w:pPr>
            <w:r w:rsidRPr="003A6D7B">
              <w:rPr>
                <w:rFonts w:ascii="Times New Roman" w:eastAsia="Calibri" w:hAnsi="Times New Roman" w:cs="Times New Roman"/>
                <w:lang w:eastAsia="hr-HR"/>
              </w:rPr>
              <w:t>6</w:t>
            </w:r>
            <w:r w:rsidR="00DE287E" w:rsidRPr="003A6D7B">
              <w:rPr>
                <w:rFonts w:ascii="Times New Roman" w:eastAsia="Calibri" w:hAnsi="Times New Roman" w:cs="Times New Roman"/>
                <w:lang w:eastAsia="hr-HR"/>
              </w:rPr>
              <w:t>.1. Socijalno-gospodarski aspekti razvoja lokalne zajednice</w:t>
            </w:r>
          </w:p>
        </w:tc>
        <w:tc>
          <w:tcPr>
            <w:tcW w:w="639" w:type="pct"/>
            <w:tcBorders>
              <w:top w:val="single" w:sz="4" w:space="0" w:color="auto"/>
              <w:left w:val="double" w:sz="6" w:space="0" w:color="auto"/>
              <w:bottom w:val="single" w:sz="4" w:space="0" w:color="auto"/>
              <w:right w:val="double" w:sz="6" w:space="0" w:color="auto"/>
            </w:tcBorders>
            <w:shd w:val="clear" w:color="auto" w:fill="auto"/>
            <w:vAlign w:val="center"/>
          </w:tcPr>
          <w:p w14:paraId="5FDC1383" w14:textId="77777777" w:rsidR="00DE287E" w:rsidRPr="003A6D7B" w:rsidRDefault="00DE287E" w:rsidP="001655B3">
            <w:pPr>
              <w:spacing w:after="0"/>
              <w:jc w:val="right"/>
              <w:rPr>
                <w:rFonts w:ascii="Times New Roman" w:hAnsi="Times New Roman" w:cs="Times New Roman"/>
              </w:rPr>
            </w:pPr>
          </w:p>
          <w:p w14:paraId="18E56B46" w14:textId="77777777" w:rsidR="00DE287E" w:rsidRPr="003A6D7B" w:rsidRDefault="00DE287E" w:rsidP="001655B3">
            <w:pPr>
              <w:spacing w:after="0"/>
              <w:jc w:val="right"/>
              <w:rPr>
                <w:rFonts w:ascii="Times New Roman" w:eastAsia="Times New Roman" w:hAnsi="Times New Roman" w:cs="Times New Roman"/>
              </w:rPr>
            </w:pPr>
            <w:r w:rsidRPr="003A6D7B">
              <w:rPr>
                <w:rFonts w:ascii="Times New Roman" w:hAnsi="Times New Roman" w:cs="Times New Roman"/>
              </w:rPr>
              <w:t>140.000</w:t>
            </w:r>
          </w:p>
          <w:p w14:paraId="34511860" w14:textId="77777777" w:rsidR="00DE287E" w:rsidRPr="003A6D7B" w:rsidRDefault="00DE287E" w:rsidP="001655B3">
            <w:pPr>
              <w:spacing w:line="259" w:lineRule="auto"/>
              <w:contextualSpacing/>
              <w:jc w:val="right"/>
              <w:rPr>
                <w:rFonts w:ascii="Times New Roman" w:eastAsia="Calibri" w:hAnsi="Times New Roman" w:cs="Times New Roman"/>
              </w:rPr>
            </w:pPr>
          </w:p>
        </w:tc>
        <w:tc>
          <w:tcPr>
            <w:tcW w:w="3162" w:type="pct"/>
            <w:tcBorders>
              <w:top w:val="single" w:sz="4" w:space="0" w:color="auto"/>
              <w:left w:val="double" w:sz="6" w:space="0" w:color="auto"/>
              <w:bottom w:val="single" w:sz="4" w:space="0" w:color="auto"/>
              <w:right w:val="double" w:sz="6" w:space="0" w:color="auto"/>
            </w:tcBorders>
            <w:shd w:val="clear" w:color="auto" w:fill="auto"/>
            <w:vAlign w:val="center"/>
          </w:tcPr>
          <w:p w14:paraId="2620DA57" w14:textId="33B3857B" w:rsidR="00DE287E" w:rsidRPr="003A6D7B" w:rsidRDefault="00DE287E" w:rsidP="00B533AB">
            <w:pPr>
              <w:spacing w:line="259" w:lineRule="auto"/>
              <w:contextualSpacing/>
              <w:jc w:val="left"/>
              <w:rPr>
                <w:rFonts w:ascii="Times New Roman" w:eastAsia="Calibri" w:hAnsi="Times New Roman" w:cs="Times New Roman"/>
              </w:rPr>
            </w:pPr>
            <w:r w:rsidRPr="003A6D7B">
              <w:rPr>
                <w:rFonts w:ascii="Times New Roman" w:eastAsia="Calibri" w:hAnsi="Times New Roman" w:cs="Times New Roman"/>
              </w:rPr>
              <w:t>Izrada smjernica i programa za ostvarivanje napretka i maksimalne iskoristivosti financijske podrške lokalnoj zajednici, a sve u svrhu poboljšanja životnih uvjeta i otvaranja mogućnosti za daljnji gospodarski razvitak područja na kojem je Centar uspostavljen</w:t>
            </w:r>
            <w:r w:rsidR="00B102D8" w:rsidRPr="003A6D7B">
              <w:rPr>
                <w:rFonts w:ascii="Times New Roman" w:eastAsia="Calibri" w:hAnsi="Times New Roman" w:cs="Times New Roman"/>
              </w:rPr>
              <w:t xml:space="preserve"> (suradnja s Zavodom za javno zdravstvo SMŽ, agroekološka studija)</w:t>
            </w:r>
          </w:p>
        </w:tc>
      </w:tr>
      <w:tr w:rsidR="00DE287E" w:rsidRPr="003A6D7B" w14:paraId="1B1AFFFD" w14:textId="77777777" w:rsidTr="008F5B18">
        <w:tc>
          <w:tcPr>
            <w:tcW w:w="1199" w:type="pct"/>
            <w:tcBorders>
              <w:top w:val="single" w:sz="4" w:space="0" w:color="auto"/>
              <w:left w:val="double" w:sz="6" w:space="0" w:color="auto"/>
              <w:bottom w:val="single" w:sz="4" w:space="0" w:color="auto"/>
              <w:right w:val="double" w:sz="6" w:space="0" w:color="auto"/>
            </w:tcBorders>
            <w:shd w:val="clear" w:color="auto" w:fill="auto"/>
            <w:vAlign w:val="center"/>
          </w:tcPr>
          <w:p w14:paraId="2117320C" w14:textId="79187DF5" w:rsidR="00DE287E" w:rsidRPr="003A6D7B" w:rsidRDefault="001655B3" w:rsidP="00B533AB">
            <w:pPr>
              <w:spacing w:line="259" w:lineRule="auto"/>
              <w:contextualSpacing/>
              <w:jc w:val="left"/>
              <w:rPr>
                <w:rFonts w:ascii="Times New Roman" w:eastAsia="Calibri" w:hAnsi="Times New Roman" w:cs="Times New Roman"/>
                <w:lang w:eastAsia="hr-HR"/>
              </w:rPr>
            </w:pPr>
            <w:r w:rsidRPr="003A6D7B">
              <w:rPr>
                <w:rFonts w:ascii="Times New Roman" w:eastAsia="Calibri" w:hAnsi="Times New Roman" w:cs="Times New Roman"/>
                <w:lang w:eastAsia="hr-HR"/>
              </w:rPr>
              <w:t>6</w:t>
            </w:r>
            <w:r w:rsidR="00DE287E" w:rsidRPr="003A6D7B">
              <w:rPr>
                <w:rFonts w:ascii="Times New Roman" w:eastAsia="Calibri" w:hAnsi="Times New Roman" w:cs="Times New Roman"/>
                <w:lang w:eastAsia="hr-HR"/>
              </w:rPr>
              <w:t xml:space="preserve">.2. Promotivne i informativno-edukativne aktivnosti </w:t>
            </w:r>
          </w:p>
        </w:tc>
        <w:tc>
          <w:tcPr>
            <w:tcW w:w="639" w:type="pct"/>
            <w:tcBorders>
              <w:top w:val="single" w:sz="4" w:space="0" w:color="auto"/>
              <w:left w:val="double" w:sz="6" w:space="0" w:color="auto"/>
              <w:bottom w:val="single" w:sz="4" w:space="0" w:color="auto"/>
              <w:right w:val="double" w:sz="6" w:space="0" w:color="auto"/>
            </w:tcBorders>
            <w:shd w:val="clear" w:color="auto" w:fill="auto"/>
            <w:vAlign w:val="center"/>
          </w:tcPr>
          <w:p w14:paraId="11E7B3CE" w14:textId="77777777" w:rsidR="00DE287E" w:rsidRPr="003A6D7B" w:rsidRDefault="00DE287E" w:rsidP="001655B3">
            <w:pPr>
              <w:spacing w:after="0"/>
              <w:jc w:val="right"/>
              <w:rPr>
                <w:rFonts w:ascii="Times New Roman" w:hAnsi="Times New Roman" w:cs="Times New Roman"/>
              </w:rPr>
            </w:pPr>
          </w:p>
          <w:p w14:paraId="00E99738" w14:textId="77777777" w:rsidR="00DE287E" w:rsidRPr="003A6D7B" w:rsidRDefault="00DE287E" w:rsidP="001655B3">
            <w:pPr>
              <w:spacing w:after="0"/>
              <w:jc w:val="right"/>
              <w:rPr>
                <w:rFonts w:ascii="Times New Roman" w:eastAsia="Times New Roman" w:hAnsi="Times New Roman" w:cs="Times New Roman"/>
              </w:rPr>
            </w:pPr>
            <w:r w:rsidRPr="003A6D7B">
              <w:rPr>
                <w:rFonts w:ascii="Times New Roman" w:hAnsi="Times New Roman" w:cs="Times New Roman"/>
              </w:rPr>
              <w:t>288.000</w:t>
            </w:r>
          </w:p>
          <w:p w14:paraId="1C5AE75C" w14:textId="77777777" w:rsidR="00DE287E" w:rsidRPr="003A6D7B" w:rsidRDefault="00DE287E" w:rsidP="001655B3">
            <w:pPr>
              <w:spacing w:line="259" w:lineRule="auto"/>
              <w:contextualSpacing/>
              <w:jc w:val="right"/>
              <w:rPr>
                <w:rFonts w:ascii="Times New Roman" w:eastAsia="Calibri" w:hAnsi="Times New Roman" w:cs="Times New Roman"/>
              </w:rPr>
            </w:pPr>
          </w:p>
        </w:tc>
        <w:tc>
          <w:tcPr>
            <w:tcW w:w="3162" w:type="pct"/>
            <w:tcBorders>
              <w:top w:val="single" w:sz="4" w:space="0" w:color="auto"/>
              <w:left w:val="double" w:sz="6" w:space="0" w:color="auto"/>
              <w:bottom w:val="single" w:sz="4" w:space="0" w:color="auto"/>
              <w:right w:val="double" w:sz="6" w:space="0" w:color="auto"/>
            </w:tcBorders>
            <w:shd w:val="clear" w:color="auto" w:fill="auto"/>
            <w:vAlign w:val="center"/>
          </w:tcPr>
          <w:p w14:paraId="666A67BF" w14:textId="42A5B657" w:rsidR="00DE287E" w:rsidRPr="003A6D7B" w:rsidRDefault="00DE287E" w:rsidP="00B533AB">
            <w:pPr>
              <w:spacing w:line="259" w:lineRule="auto"/>
              <w:contextualSpacing/>
              <w:jc w:val="left"/>
              <w:rPr>
                <w:rFonts w:ascii="Times New Roman" w:eastAsia="Calibri" w:hAnsi="Times New Roman" w:cs="Times New Roman"/>
              </w:rPr>
            </w:pPr>
            <w:r w:rsidRPr="003A6D7B">
              <w:rPr>
                <w:rFonts w:ascii="Times New Roman" w:eastAsia="Calibri" w:hAnsi="Times New Roman" w:cs="Times New Roman"/>
              </w:rPr>
              <w:t>Organizacija i provođenje aktivnosti informiranja javnosti o sigurnom zbrinjavanju radioaktivnog otpada i uspostavi Centra za zbrinjavanje radioaktivnog otpada, te uključivanja javnosti u tijek projekta</w:t>
            </w:r>
            <w:r w:rsidR="00B102D8" w:rsidRPr="003A6D7B">
              <w:rPr>
                <w:rFonts w:ascii="Times New Roman" w:eastAsia="Calibri" w:hAnsi="Times New Roman" w:cs="Times New Roman"/>
              </w:rPr>
              <w:t xml:space="preserve"> – angažman PR agencije, posjeti lokacijama, izrada informativnih materijala, predavanja u školama</w:t>
            </w:r>
          </w:p>
        </w:tc>
      </w:tr>
      <w:tr w:rsidR="00DE287E" w:rsidRPr="003A6D7B" w14:paraId="63EC3ADA" w14:textId="77777777" w:rsidTr="008F5B18">
        <w:tc>
          <w:tcPr>
            <w:tcW w:w="1199" w:type="pct"/>
            <w:tcBorders>
              <w:top w:val="single" w:sz="4" w:space="0" w:color="auto"/>
              <w:left w:val="double" w:sz="6" w:space="0" w:color="auto"/>
              <w:bottom w:val="single" w:sz="4" w:space="0" w:color="auto"/>
              <w:right w:val="double" w:sz="6" w:space="0" w:color="auto"/>
            </w:tcBorders>
            <w:shd w:val="clear" w:color="auto" w:fill="auto"/>
            <w:vAlign w:val="center"/>
          </w:tcPr>
          <w:p w14:paraId="75DB56C9" w14:textId="48F3E173" w:rsidR="00DE287E" w:rsidRPr="003A6D7B" w:rsidRDefault="001655B3" w:rsidP="00B533AB">
            <w:pPr>
              <w:spacing w:line="259" w:lineRule="auto"/>
              <w:contextualSpacing/>
              <w:jc w:val="left"/>
              <w:rPr>
                <w:rFonts w:ascii="Times New Roman" w:eastAsia="Calibri" w:hAnsi="Times New Roman" w:cs="Times New Roman"/>
                <w:lang w:eastAsia="hr-HR"/>
              </w:rPr>
            </w:pPr>
            <w:r w:rsidRPr="003A6D7B">
              <w:rPr>
                <w:rFonts w:ascii="Times New Roman" w:eastAsia="Calibri" w:hAnsi="Times New Roman" w:cs="Times New Roman"/>
                <w:lang w:eastAsia="hr-HR"/>
              </w:rPr>
              <w:t>6</w:t>
            </w:r>
            <w:r w:rsidR="00DE287E" w:rsidRPr="003A6D7B">
              <w:rPr>
                <w:rFonts w:ascii="Times New Roman" w:eastAsia="Calibri" w:hAnsi="Times New Roman" w:cs="Times New Roman"/>
                <w:lang w:eastAsia="hr-HR"/>
              </w:rPr>
              <w:t>.3. Uspostava i održavanje centara za informiranje javnosti</w:t>
            </w:r>
          </w:p>
        </w:tc>
        <w:tc>
          <w:tcPr>
            <w:tcW w:w="639" w:type="pct"/>
            <w:tcBorders>
              <w:top w:val="single" w:sz="4" w:space="0" w:color="auto"/>
              <w:left w:val="double" w:sz="6" w:space="0" w:color="auto"/>
              <w:bottom w:val="single" w:sz="4" w:space="0" w:color="auto"/>
              <w:right w:val="double" w:sz="6" w:space="0" w:color="auto"/>
            </w:tcBorders>
            <w:shd w:val="clear" w:color="auto" w:fill="auto"/>
            <w:vAlign w:val="center"/>
          </w:tcPr>
          <w:p w14:paraId="7A9D60F7" w14:textId="77777777" w:rsidR="00DE287E" w:rsidRPr="003A6D7B" w:rsidRDefault="00DE287E" w:rsidP="001655B3">
            <w:pPr>
              <w:spacing w:after="0"/>
              <w:jc w:val="right"/>
              <w:rPr>
                <w:rFonts w:ascii="Times New Roman" w:hAnsi="Times New Roman" w:cs="Times New Roman"/>
              </w:rPr>
            </w:pPr>
          </w:p>
          <w:p w14:paraId="029DDEFE" w14:textId="77777777" w:rsidR="00DE287E" w:rsidRPr="003A6D7B" w:rsidRDefault="00DE287E" w:rsidP="001655B3">
            <w:pPr>
              <w:spacing w:after="0"/>
              <w:jc w:val="right"/>
              <w:rPr>
                <w:rFonts w:ascii="Times New Roman" w:eastAsia="Times New Roman" w:hAnsi="Times New Roman" w:cs="Times New Roman"/>
              </w:rPr>
            </w:pPr>
            <w:r w:rsidRPr="003A6D7B">
              <w:rPr>
                <w:rFonts w:ascii="Times New Roman" w:hAnsi="Times New Roman" w:cs="Times New Roman"/>
              </w:rPr>
              <w:t>83.000</w:t>
            </w:r>
          </w:p>
          <w:p w14:paraId="7D80621A" w14:textId="77777777" w:rsidR="00DE287E" w:rsidRPr="003A6D7B" w:rsidRDefault="00DE287E" w:rsidP="001655B3">
            <w:pPr>
              <w:spacing w:line="259" w:lineRule="auto"/>
              <w:contextualSpacing/>
              <w:jc w:val="right"/>
              <w:rPr>
                <w:rFonts w:ascii="Times New Roman" w:eastAsia="Calibri" w:hAnsi="Times New Roman" w:cs="Times New Roman"/>
              </w:rPr>
            </w:pPr>
          </w:p>
        </w:tc>
        <w:tc>
          <w:tcPr>
            <w:tcW w:w="3162" w:type="pct"/>
            <w:tcBorders>
              <w:top w:val="single" w:sz="4" w:space="0" w:color="auto"/>
              <w:left w:val="double" w:sz="6" w:space="0" w:color="auto"/>
              <w:bottom w:val="single" w:sz="4" w:space="0" w:color="auto"/>
              <w:right w:val="double" w:sz="6" w:space="0" w:color="auto"/>
            </w:tcBorders>
            <w:shd w:val="clear" w:color="auto" w:fill="auto"/>
            <w:vAlign w:val="center"/>
          </w:tcPr>
          <w:p w14:paraId="4140899E" w14:textId="10533F6A" w:rsidR="00DE287E" w:rsidRPr="003A6D7B" w:rsidRDefault="00B102D8" w:rsidP="00B533AB">
            <w:pPr>
              <w:spacing w:line="259" w:lineRule="auto"/>
              <w:contextualSpacing/>
              <w:jc w:val="left"/>
              <w:rPr>
                <w:rFonts w:ascii="Times New Roman" w:eastAsia="Calibri" w:hAnsi="Times New Roman" w:cs="Times New Roman"/>
              </w:rPr>
            </w:pPr>
            <w:r w:rsidRPr="003A6D7B">
              <w:rPr>
                <w:rFonts w:ascii="Times New Roman" w:eastAsia="Calibri" w:hAnsi="Times New Roman" w:cs="Times New Roman"/>
              </w:rPr>
              <w:t>O</w:t>
            </w:r>
            <w:r w:rsidR="00DE287E" w:rsidRPr="003A6D7B">
              <w:rPr>
                <w:rFonts w:ascii="Times New Roman" w:eastAsia="Calibri" w:hAnsi="Times New Roman" w:cs="Times New Roman"/>
              </w:rPr>
              <w:t>državanje info centara u Zagrebu i Dvoru, te virtualnih info centara u svrhu bolje informiranosti opće i lokalne javnosti putem kojih će se pružati cjelovite i sustavne informacije, prilagođene različitim dobnim skupinama na pristupačan način</w:t>
            </w:r>
            <w:r w:rsidRPr="003A6D7B">
              <w:rPr>
                <w:rFonts w:ascii="Times New Roman" w:eastAsia="Calibri" w:hAnsi="Times New Roman" w:cs="Times New Roman"/>
              </w:rPr>
              <w:t xml:space="preserve"> – maglena komora, manje adaptacije</w:t>
            </w:r>
          </w:p>
        </w:tc>
      </w:tr>
      <w:tr w:rsidR="00DE287E" w:rsidRPr="003A6D7B" w14:paraId="234AC9C4" w14:textId="77777777" w:rsidTr="008F5B18">
        <w:tc>
          <w:tcPr>
            <w:tcW w:w="1199" w:type="pct"/>
            <w:tcBorders>
              <w:top w:val="single" w:sz="4" w:space="0" w:color="auto"/>
              <w:left w:val="double" w:sz="6" w:space="0" w:color="auto"/>
              <w:bottom w:val="single" w:sz="4" w:space="0" w:color="auto"/>
              <w:right w:val="double" w:sz="6" w:space="0" w:color="auto"/>
            </w:tcBorders>
            <w:shd w:val="clear" w:color="auto" w:fill="auto"/>
            <w:vAlign w:val="center"/>
          </w:tcPr>
          <w:p w14:paraId="789AAFD5" w14:textId="1F1970F6" w:rsidR="00DE287E" w:rsidRPr="003A6D7B" w:rsidRDefault="001655B3" w:rsidP="00B533AB">
            <w:pPr>
              <w:spacing w:line="259" w:lineRule="auto"/>
              <w:contextualSpacing/>
              <w:jc w:val="left"/>
              <w:rPr>
                <w:rFonts w:ascii="Times New Roman" w:eastAsia="Calibri" w:hAnsi="Times New Roman" w:cs="Times New Roman"/>
                <w:lang w:eastAsia="hr-HR"/>
              </w:rPr>
            </w:pPr>
            <w:r w:rsidRPr="003A6D7B">
              <w:rPr>
                <w:rFonts w:ascii="Times New Roman" w:eastAsia="Calibri" w:hAnsi="Times New Roman" w:cs="Times New Roman"/>
                <w:lang w:eastAsia="hr-HR"/>
              </w:rPr>
              <w:t>6</w:t>
            </w:r>
            <w:r w:rsidR="00DE287E" w:rsidRPr="003A6D7B">
              <w:rPr>
                <w:rFonts w:ascii="Times New Roman" w:eastAsia="Calibri" w:hAnsi="Times New Roman" w:cs="Times New Roman"/>
                <w:lang w:eastAsia="hr-HR"/>
              </w:rPr>
              <w:t>.4. Praćenje i analiza medija</w:t>
            </w:r>
          </w:p>
        </w:tc>
        <w:tc>
          <w:tcPr>
            <w:tcW w:w="639" w:type="pct"/>
            <w:tcBorders>
              <w:top w:val="single" w:sz="4" w:space="0" w:color="auto"/>
              <w:left w:val="double" w:sz="6" w:space="0" w:color="auto"/>
              <w:bottom w:val="single" w:sz="4" w:space="0" w:color="auto"/>
              <w:right w:val="double" w:sz="6" w:space="0" w:color="auto"/>
            </w:tcBorders>
            <w:shd w:val="clear" w:color="auto" w:fill="auto"/>
            <w:vAlign w:val="center"/>
          </w:tcPr>
          <w:p w14:paraId="61587B22" w14:textId="77777777" w:rsidR="00DE287E" w:rsidRPr="003A6D7B" w:rsidRDefault="00DE287E" w:rsidP="001655B3">
            <w:pPr>
              <w:spacing w:line="259" w:lineRule="auto"/>
              <w:contextualSpacing/>
              <w:jc w:val="right"/>
              <w:rPr>
                <w:rFonts w:ascii="Times New Roman" w:eastAsia="Calibri" w:hAnsi="Times New Roman" w:cs="Times New Roman"/>
              </w:rPr>
            </w:pPr>
            <w:r w:rsidRPr="003A6D7B">
              <w:rPr>
                <w:rFonts w:ascii="Times New Roman" w:eastAsia="Calibri" w:hAnsi="Times New Roman" w:cs="Times New Roman"/>
              </w:rPr>
              <w:t>21.000</w:t>
            </w:r>
          </w:p>
        </w:tc>
        <w:tc>
          <w:tcPr>
            <w:tcW w:w="3162" w:type="pct"/>
            <w:tcBorders>
              <w:top w:val="single" w:sz="4" w:space="0" w:color="auto"/>
              <w:left w:val="double" w:sz="6" w:space="0" w:color="auto"/>
              <w:bottom w:val="single" w:sz="4" w:space="0" w:color="auto"/>
              <w:right w:val="double" w:sz="6" w:space="0" w:color="auto"/>
            </w:tcBorders>
            <w:shd w:val="clear" w:color="auto" w:fill="auto"/>
            <w:vAlign w:val="center"/>
          </w:tcPr>
          <w:p w14:paraId="1A78B1D4" w14:textId="77777777" w:rsidR="00DE287E" w:rsidRPr="003A6D7B" w:rsidRDefault="00DE287E" w:rsidP="00B533AB">
            <w:pPr>
              <w:spacing w:line="259" w:lineRule="auto"/>
              <w:contextualSpacing/>
              <w:jc w:val="left"/>
              <w:rPr>
                <w:rFonts w:ascii="Times New Roman" w:eastAsia="Calibri" w:hAnsi="Times New Roman" w:cs="Times New Roman"/>
              </w:rPr>
            </w:pPr>
            <w:r w:rsidRPr="003A6D7B">
              <w:rPr>
                <w:rFonts w:ascii="Times New Roman" w:eastAsia="Calibri" w:hAnsi="Times New Roman" w:cs="Times New Roman"/>
              </w:rPr>
              <w:t xml:space="preserve">Redovno praćenje medijskih objava, te izrada medijske analize u svrhu dobivanja kvantitativnih i kvalitativnih pokazatelja objava u medijima. </w:t>
            </w:r>
          </w:p>
        </w:tc>
      </w:tr>
      <w:tr w:rsidR="00DE287E" w:rsidRPr="003A6D7B" w14:paraId="3E653099" w14:textId="77777777" w:rsidTr="008F5B18">
        <w:tc>
          <w:tcPr>
            <w:tcW w:w="1199" w:type="pct"/>
            <w:tcBorders>
              <w:top w:val="single" w:sz="4" w:space="0" w:color="auto"/>
              <w:left w:val="double" w:sz="6" w:space="0" w:color="auto"/>
              <w:bottom w:val="double" w:sz="4" w:space="0" w:color="auto"/>
              <w:right w:val="double" w:sz="6" w:space="0" w:color="auto"/>
            </w:tcBorders>
            <w:shd w:val="clear" w:color="auto" w:fill="auto"/>
            <w:vAlign w:val="center"/>
          </w:tcPr>
          <w:p w14:paraId="072B1D14" w14:textId="1D53AC52" w:rsidR="00DE287E" w:rsidRPr="003A6D7B" w:rsidRDefault="001655B3" w:rsidP="00B533AB">
            <w:pPr>
              <w:spacing w:line="259" w:lineRule="auto"/>
              <w:contextualSpacing/>
              <w:jc w:val="left"/>
              <w:rPr>
                <w:rFonts w:ascii="Times New Roman" w:eastAsia="Calibri" w:hAnsi="Times New Roman" w:cs="Times New Roman"/>
                <w:lang w:eastAsia="hr-HR"/>
              </w:rPr>
            </w:pPr>
            <w:r w:rsidRPr="003A6D7B">
              <w:rPr>
                <w:rFonts w:ascii="Times New Roman" w:eastAsia="Calibri" w:hAnsi="Times New Roman" w:cs="Times New Roman"/>
                <w:lang w:eastAsia="hr-HR"/>
              </w:rPr>
              <w:t>6</w:t>
            </w:r>
            <w:r w:rsidR="00DE287E" w:rsidRPr="003A6D7B">
              <w:rPr>
                <w:rFonts w:ascii="Times New Roman" w:eastAsia="Calibri" w:hAnsi="Times New Roman" w:cs="Times New Roman"/>
                <w:lang w:eastAsia="hr-HR"/>
              </w:rPr>
              <w:t>.5. Financijska podrška lokalnoj zajednici</w:t>
            </w:r>
          </w:p>
        </w:tc>
        <w:tc>
          <w:tcPr>
            <w:tcW w:w="639" w:type="pct"/>
            <w:tcBorders>
              <w:top w:val="single" w:sz="4" w:space="0" w:color="auto"/>
              <w:left w:val="double" w:sz="6" w:space="0" w:color="auto"/>
              <w:bottom w:val="double" w:sz="4" w:space="0" w:color="auto"/>
              <w:right w:val="double" w:sz="6" w:space="0" w:color="auto"/>
            </w:tcBorders>
            <w:shd w:val="clear" w:color="auto" w:fill="auto"/>
            <w:vAlign w:val="center"/>
          </w:tcPr>
          <w:p w14:paraId="1C073693" w14:textId="77777777" w:rsidR="00DE287E" w:rsidRPr="003A6D7B" w:rsidRDefault="00DE287E" w:rsidP="001655B3">
            <w:pPr>
              <w:spacing w:line="259" w:lineRule="auto"/>
              <w:contextualSpacing/>
              <w:jc w:val="right"/>
              <w:rPr>
                <w:rFonts w:ascii="Times New Roman" w:eastAsia="Calibri" w:hAnsi="Times New Roman" w:cs="Times New Roman"/>
              </w:rPr>
            </w:pPr>
            <w:r w:rsidRPr="003A6D7B">
              <w:rPr>
                <w:rFonts w:ascii="Times New Roman" w:eastAsia="Calibri" w:hAnsi="Times New Roman" w:cs="Times New Roman"/>
              </w:rPr>
              <w:t>1.100.000</w:t>
            </w:r>
          </w:p>
        </w:tc>
        <w:tc>
          <w:tcPr>
            <w:tcW w:w="3162" w:type="pct"/>
            <w:tcBorders>
              <w:top w:val="single" w:sz="4" w:space="0" w:color="auto"/>
              <w:left w:val="double" w:sz="6" w:space="0" w:color="auto"/>
              <w:bottom w:val="double" w:sz="4" w:space="0" w:color="auto"/>
              <w:right w:val="double" w:sz="6" w:space="0" w:color="auto"/>
            </w:tcBorders>
            <w:shd w:val="clear" w:color="auto" w:fill="auto"/>
            <w:vAlign w:val="center"/>
          </w:tcPr>
          <w:p w14:paraId="5BC5629E" w14:textId="77777777" w:rsidR="00DE287E" w:rsidRPr="003A6D7B" w:rsidRDefault="00DE287E" w:rsidP="00B533AB">
            <w:pPr>
              <w:spacing w:line="259" w:lineRule="auto"/>
              <w:contextualSpacing/>
              <w:jc w:val="left"/>
              <w:rPr>
                <w:rFonts w:ascii="Times New Roman" w:eastAsia="Calibri" w:hAnsi="Times New Roman" w:cs="Times New Roman"/>
              </w:rPr>
            </w:pPr>
            <w:r w:rsidRPr="003A6D7B">
              <w:rPr>
                <w:rFonts w:ascii="Times New Roman" w:eastAsia="Calibri" w:hAnsi="Times New Roman" w:cs="Times New Roman"/>
              </w:rPr>
              <w:t>Financijska podrška lokalnoj zajednici u svrhu socijalno-gospodarskog razvoja.</w:t>
            </w:r>
          </w:p>
        </w:tc>
      </w:tr>
      <w:tr w:rsidR="00DE287E" w:rsidRPr="003A6D7B" w14:paraId="5F03B6DD" w14:textId="77777777" w:rsidTr="008F5B18">
        <w:tc>
          <w:tcPr>
            <w:tcW w:w="1199" w:type="pct"/>
            <w:tcBorders>
              <w:top w:val="double" w:sz="4" w:space="0" w:color="auto"/>
              <w:left w:val="double" w:sz="6" w:space="0" w:color="auto"/>
              <w:bottom w:val="double" w:sz="4" w:space="0" w:color="auto"/>
              <w:right w:val="double" w:sz="6" w:space="0" w:color="auto"/>
            </w:tcBorders>
            <w:shd w:val="clear" w:color="auto" w:fill="C5E0B3"/>
            <w:vAlign w:val="center"/>
          </w:tcPr>
          <w:p w14:paraId="4B063852" w14:textId="7115F4B8" w:rsidR="00DE287E" w:rsidRPr="003A6D7B" w:rsidRDefault="00DE287E" w:rsidP="00B533AB">
            <w:pPr>
              <w:spacing w:line="259" w:lineRule="auto"/>
              <w:contextualSpacing/>
              <w:jc w:val="left"/>
              <w:rPr>
                <w:rFonts w:ascii="Times New Roman" w:eastAsia="Calibri" w:hAnsi="Times New Roman" w:cs="Times New Roman"/>
                <w:lang w:eastAsia="hr-HR"/>
              </w:rPr>
            </w:pPr>
            <w:r w:rsidRPr="003A6D7B">
              <w:rPr>
                <w:rFonts w:ascii="Times New Roman" w:eastAsia="Calibri" w:hAnsi="Times New Roman" w:cs="Times New Roman"/>
                <w:b/>
                <w:bCs/>
                <w:lang w:eastAsia="hr-HR"/>
              </w:rPr>
              <w:t>Ukupni rashodi odnosa s javnošću</w:t>
            </w:r>
          </w:p>
        </w:tc>
        <w:tc>
          <w:tcPr>
            <w:tcW w:w="639" w:type="pct"/>
            <w:tcBorders>
              <w:top w:val="double" w:sz="4" w:space="0" w:color="auto"/>
              <w:left w:val="double" w:sz="6" w:space="0" w:color="auto"/>
              <w:bottom w:val="double" w:sz="4" w:space="0" w:color="auto"/>
              <w:right w:val="double" w:sz="6" w:space="0" w:color="auto"/>
            </w:tcBorders>
            <w:shd w:val="clear" w:color="auto" w:fill="C5E0B3"/>
            <w:vAlign w:val="center"/>
          </w:tcPr>
          <w:p w14:paraId="48AB7A5B" w14:textId="77777777" w:rsidR="00DE287E" w:rsidRPr="003A6D7B" w:rsidRDefault="00DE287E" w:rsidP="00B533AB">
            <w:pPr>
              <w:spacing w:line="259" w:lineRule="auto"/>
              <w:contextualSpacing/>
              <w:jc w:val="left"/>
              <w:rPr>
                <w:rFonts w:ascii="Times New Roman" w:eastAsia="Calibri" w:hAnsi="Times New Roman" w:cs="Times New Roman"/>
                <w:b/>
                <w:bCs/>
                <w:lang w:eastAsia="hr-HR"/>
              </w:rPr>
            </w:pPr>
          </w:p>
          <w:p w14:paraId="7581C35B" w14:textId="77777777" w:rsidR="00DE287E" w:rsidRPr="003A6D7B" w:rsidRDefault="00DE287E" w:rsidP="001655B3">
            <w:pPr>
              <w:spacing w:line="259" w:lineRule="auto"/>
              <w:contextualSpacing/>
              <w:jc w:val="right"/>
              <w:rPr>
                <w:rFonts w:ascii="Times New Roman" w:eastAsia="Calibri" w:hAnsi="Times New Roman" w:cs="Times New Roman"/>
                <w:b/>
                <w:bCs/>
                <w:lang w:eastAsia="hr-HR"/>
              </w:rPr>
            </w:pPr>
            <w:r w:rsidRPr="003A6D7B">
              <w:rPr>
                <w:rFonts w:ascii="Times New Roman" w:eastAsia="Calibri" w:hAnsi="Times New Roman" w:cs="Times New Roman"/>
                <w:b/>
                <w:bCs/>
                <w:lang w:eastAsia="hr-HR"/>
              </w:rPr>
              <w:t>1.632.000</w:t>
            </w:r>
          </w:p>
          <w:p w14:paraId="0E307325" w14:textId="77777777" w:rsidR="00DE287E" w:rsidRPr="003A6D7B" w:rsidRDefault="00DE287E" w:rsidP="00B533AB">
            <w:pPr>
              <w:spacing w:line="259" w:lineRule="auto"/>
              <w:contextualSpacing/>
              <w:jc w:val="left"/>
              <w:rPr>
                <w:rFonts w:ascii="Times New Roman" w:eastAsia="Calibri" w:hAnsi="Times New Roman" w:cs="Times New Roman"/>
                <w:b/>
                <w:bCs/>
                <w:lang w:eastAsia="hr-HR"/>
              </w:rPr>
            </w:pPr>
          </w:p>
        </w:tc>
        <w:tc>
          <w:tcPr>
            <w:tcW w:w="3162" w:type="pct"/>
            <w:tcBorders>
              <w:top w:val="double" w:sz="4" w:space="0" w:color="auto"/>
              <w:left w:val="double" w:sz="6" w:space="0" w:color="auto"/>
              <w:bottom w:val="double" w:sz="4" w:space="0" w:color="auto"/>
              <w:right w:val="double" w:sz="6" w:space="0" w:color="auto"/>
            </w:tcBorders>
            <w:shd w:val="clear" w:color="auto" w:fill="C5E0B3"/>
            <w:vAlign w:val="center"/>
          </w:tcPr>
          <w:p w14:paraId="73BE1A4B" w14:textId="77777777" w:rsidR="00DE287E" w:rsidRPr="003A6D7B" w:rsidRDefault="00DE287E" w:rsidP="00B533AB">
            <w:pPr>
              <w:spacing w:line="259" w:lineRule="auto"/>
              <w:contextualSpacing/>
              <w:jc w:val="left"/>
              <w:rPr>
                <w:rFonts w:ascii="Times New Roman" w:eastAsia="Calibri" w:hAnsi="Times New Roman" w:cs="Times New Roman"/>
              </w:rPr>
            </w:pPr>
          </w:p>
        </w:tc>
      </w:tr>
    </w:tbl>
    <w:p w14:paraId="4B41A9F9" w14:textId="77777777" w:rsidR="003A6D7B" w:rsidRDefault="003A6D7B" w:rsidP="003A6D7B">
      <w:pPr>
        <w:pStyle w:val="Heading2"/>
        <w:numPr>
          <w:ilvl w:val="0"/>
          <w:numId w:val="0"/>
        </w:numPr>
        <w:spacing w:after="0"/>
        <w:rPr>
          <w:rFonts w:ascii="Times New Roman" w:hAnsi="Times New Roman" w:cs="Times New Roman"/>
        </w:rPr>
      </w:pPr>
      <w:bookmarkStart w:id="95" w:name="_Toc499291495"/>
      <w:bookmarkStart w:id="96" w:name="_Toc26742732"/>
      <w:bookmarkStart w:id="97" w:name="_Toc58937056"/>
      <w:bookmarkStart w:id="98" w:name="_Toc59178445"/>
      <w:bookmarkStart w:id="99" w:name="_Toc62050195"/>
    </w:p>
    <w:p w14:paraId="2B472B8C" w14:textId="6D615D35" w:rsidR="003A6D7B" w:rsidRPr="003A6D7B" w:rsidRDefault="003A23D6" w:rsidP="003A6D7B">
      <w:pPr>
        <w:pStyle w:val="Heading2"/>
        <w:rPr>
          <w:rFonts w:ascii="Times New Roman" w:hAnsi="Times New Roman" w:cs="Times New Roman"/>
        </w:rPr>
      </w:pPr>
      <w:bookmarkStart w:id="100" w:name="_Toc130809364"/>
      <w:r w:rsidRPr="003A6D7B">
        <w:rPr>
          <w:rFonts w:ascii="Times New Roman" w:hAnsi="Times New Roman" w:cs="Times New Roman"/>
        </w:rPr>
        <w:t>Ostali poslovi Fonda</w:t>
      </w:r>
      <w:bookmarkEnd w:id="95"/>
      <w:bookmarkEnd w:id="96"/>
      <w:bookmarkEnd w:id="97"/>
      <w:bookmarkEnd w:id="98"/>
      <w:bookmarkEnd w:id="99"/>
      <w:bookmarkEnd w:id="100"/>
    </w:p>
    <w:p w14:paraId="7B89D464" w14:textId="6B4BF331" w:rsidR="003A23D6" w:rsidRPr="003A6D7B" w:rsidRDefault="003A23D6"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Osim </w:t>
      </w:r>
      <w:r w:rsidR="00A5737E" w:rsidRPr="003A6D7B">
        <w:rPr>
          <w:rFonts w:ascii="Times New Roman" w:hAnsi="Times New Roman" w:cs="Times New Roman"/>
          <w:sz w:val="24"/>
          <w:szCs w:val="24"/>
        </w:rPr>
        <w:t>prethodno opisanih aktivnosti,</w:t>
      </w:r>
      <w:r w:rsidRPr="003A6D7B">
        <w:rPr>
          <w:rFonts w:ascii="Times New Roman" w:hAnsi="Times New Roman" w:cs="Times New Roman"/>
          <w:sz w:val="24"/>
          <w:szCs w:val="24"/>
        </w:rPr>
        <w:t xml:space="preserve"> Fond će tijekom 202</w:t>
      </w:r>
      <w:r w:rsidR="00A5737E" w:rsidRPr="003A6D7B">
        <w:rPr>
          <w:rFonts w:ascii="Times New Roman" w:hAnsi="Times New Roman" w:cs="Times New Roman"/>
          <w:sz w:val="24"/>
          <w:szCs w:val="24"/>
        </w:rPr>
        <w:t>3</w:t>
      </w:r>
      <w:r w:rsidRPr="003A6D7B">
        <w:rPr>
          <w:rFonts w:ascii="Times New Roman" w:hAnsi="Times New Roman" w:cs="Times New Roman"/>
          <w:sz w:val="24"/>
          <w:szCs w:val="24"/>
        </w:rPr>
        <w:t>. godine obavljati i sljedeće poslove:</w:t>
      </w:r>
    </w:p>
    <w:p w14:paraId="71A5F42A" w14:textId="3F108B7E"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lastRenderedPageBreak/>
        <w:t xml:space="preserve">izraditi i po potrebi revidirati Plan nabave za </w:t>
      </w:r>
      <w:r w:rsidR="008B4D28" w:rsidRPr="003A6D7B">
        <w:rPr>
          <w:rFonts w:ascii="Times New Roman" w:hAnsi="Times New Roman" w:cs="Times New Roman"/>
          <w:sz w:val="24"/>
          <w:szCs w:val="24"/>
        </w:rPr>
        <w:t>2023</w:t>
      </w:r>
      <w:r w:rsidRPr="003A6D7B">
        <w:rPr>
          <w:rFonts w:ascii="Times New Roman" w:hAnsi="Times New Roman" w:cs="Times New Roman"/>
          <w:sz w:val="24"/>
          <w:szCs w:val="24"/>
        </w:rPr>
        <w:t>. godinu,</w:t>
      </w:r>
    </w:p>
    <w:p w14:paraId="0694E892" w14:textId="18DEA3AB"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izraditi Program rada i financijski plan Fonda za </w:t>
      </w:r>
      <w:r w:rsidR="008B4D28" w:rsidRPr="003A6D7B">
        <w:rPr>
          <w:rFonts w:ascii="Times New Roman" w:hAnsi="Times New Roman" w:cs="Times New Roman"/>
          <w:sz w:val="24"/>
          <w:szCs w:val="24"/>
        </w:rPr>
        <w:t>2024</w:t>
      </w:r>
      <w:r w:rsidRPr="003A6D7B">
        <w:rPr>
          <w:rFonts w:ascii="Times New Roman" w:hAnsi="Times New Roman" w:cs="Times New Roman"/>
          <w:sz w:val="24"/>
          <w:szCs w:val="24"/>
        </w:rPr>
        <w:t>. godinu,</w:t>
      </w:r>
    </w:p>
    <w:p w14:paraId="19AADF84" w14:textId="2EAE7168"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izraditi Izvješće o ostvarivanju programa rada i financijsko izvješće Fonda za </w:t>
      </w:r>
      <w:r w:rsidR="008B4D28" w:rsidRPr="003A6D7B">
        <w:rPr>
          <w:rFonts w:ascii="Times New Roman" w:hAnsi="Times New Roman" w:cs="Times New Roman"/>
          <w:sz w:val="24"/>
          <w:szCs w:val="24"/>
        </w:rPr>
        <w:t>2022</w:t>
      </w:r>
      <w:r w:rsidRPr="003A6D7B">
        <w:rPr>
          <w:rFonts w:ascii="Times New Roman" w:hAnsi="Times New Roman" w:cs="Times New Roman"/>
          <w:sz w:val="24"/>
          <w:szCs w:val="24"/>
        </w:rPr>
        <w:t xml:space="preserve">. godinu, </w:t>
      </w:r>
    </w:p>
    <w:p w14:paraId="4B4D8074" w14:textId="67FB639C"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izraditi izvješće o provedenim postupcima javne nabave i izjavu o fiskalnoj odgovornosti za </w:t>
      </w:r>
      <w:r w:rsidR="008B4D28" w:rsidRPr="003A6D7B">
        <w:rPr>
          <w:rFonts w:ascii="Times New Roman" w:hAnsi="Times New Roman" w:cs="Times New Roman"/>
          <w:sz w:val="24"/>
          <w:szCs w:val="24"/>
        </w:rPr>
        <w:t>2022</w:t>
      </w:r>
      <w:r w:rsidRPr="003A6D7B">
        <w:rPr>
          <w:rFonts w:ascii="Times New Roman" w:hAnsi="Times New Roman" w:cs="Times New Roman"/>
          <w:sz w:val="24"/>
          <w:szCs w:val="24"/>
        </w:rPr>
        <w:t>. godinu,</w:t>
      </w:r>
    </w:p>
    <w:p w14:paraId="7745B023"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najmanje tromjesečno izvještavati Upravni odbor o financijskom poslovanju Fonda,</w:t>
      </w:r>
    </w:p>
    <w:p w14:paraId="4783324A" w14:textId="63B5C3C9" w:rsidR="003A23D6" w:rsidRPr="003A6D7B" w:rsidRDefault="003470F8"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najkasnije do 31.</w:t>
      </w:r>
      <w:r w:rsidR="008F5B18" w:rsidRPr="003A6D7B">
        <w:rPr>
          <w:rFonts w:ascii="Times New Roman" w:hAnsi="Times New Roman" w:cs="Times New Roman"/>
          <w:sz w:val="24"/>
          <w:szCs w:val="24"/>
        </w:rPr>
        <w:t xml:space="preserve"> </w:t>
      </w:r>
      <w:r w:rsidRPr="003A6D7B">
        <w:rPr>
          <w:rFonts w:ascii="Times New Roman" w:hAnsi="Times New Roman" w:cs="Times New Roman"/>
          <w:sz w:val="24"/>
          <w:szCs w:val="24"/>
        </w:rPr>
        <w:t>svibnja dostaviti Vladi Republike Hrvatske putem</w:t>
      </w:r>
      <w:r w:rsidR="003A23D6" w:rsidRPr="003A6D7B">
        <w:rPr>
          <w:rFonts w:ascii="Times New Roman" w:hAnsi="Times New Roman" w:cs="Times New Roman"/>
          <w:sz w:val="24"/>
          <w:szCs w:val="24"/>
        </w:rPr>
        <w:t xml:space="preserve"> tijel</w:t>
      </w:r>
      <w:r w:rsidRPr="003A6D7B">
        <w:rPr>
          <w:rFonts w:ascii="Times New Roman" w:hAnsi="Times New Roman" w:cs="Times New Roman"/>
          <w:sz w:val="24"/>
          <w:szCs w:val="24"/>
        </w:rPr>
        <w:t>a</w:t>
      </w:r>
      <w:r w:rsidR="003A23D6" w:rsidRPr="003A6D7B">
        <w:rPr>
          <w:rFonts w:ascii="Times New Roman" w:hAnsi="Times New Roman" w:cs="Times New Roman"/>
          <w:sz w:val="24"/>
          <w:szCs w:val="24"/>
        </w:rPr>
        <w:t xml:space="preserve"> državne uprave nadležno</w:t>
      </w:r>
      <w:r w:rsidRPr="003A6D7B">
        <w:rPr>
          <w:rFonts w:ascii="Times New Roman" w:hAnsi="Times New Roman" w:cs="Times New Roman"/>
          <w:sz w:val="24"/>
          <w:szCs w:val="24"/>
        </w:rPr>
        <w:t>g</w:t>
      </w:r>
      <w:r w:rsidR="003A23D6" w:rsidRPr="003A6D7B">
        <w:rPr>
          <w:rFonts w:ascii="Times New Roman" w:hAnsi="Times New Roman" w:cs="Times New Roman"/>
          <w:sz w:val="24"/>
          <w:szCs w:val="24"/>
        </w:rPr>
        <w:t xml:space="preserve"> za poslove energetike </w:t>
      </w:r>
      <w:r w:rsidRPr="003A6D7B">
        <w:rPr>
          <w:rFonts w:ascii="Times New Roman" w:hAnsi="Times New Roman" w:cs="Times New Roman"/>
          <w:sz w:val="24"/>
          <w:szCs w:val="24"/>
        </w:rPr>
        <w:t>izvješće o ostvarenju programa rada i financijsko izvješće za proteklu godinu</w:t>
      </w:r>
      <w:r w:rsidR="003A23D6" w:rsidRPr="003A6D7B">
        <w:rPr>
          <w:rFonts w:ascii="Times New Roman" w:hAnsi="Times New Roman" w:cs="Times New Roman"/>
          <w:sz w:val="24"/>
          <w:szCs w:val="24"/>
        </w:rPr>
        <w:t>,</w:t>
      </w:r>
    </w:p>
    <w:p w14:paraId="0F2D193A"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najmanje jednom godišnje izvještavati javnost o financijskom poslovanju Fonda,</w:t>
      </w:r>
    </w:p>
    <w:p w14:paraId="502D7F77" w14:textId="77777777"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provoditi aktivnosti odnosa s javnošću s ciljem uključivanja opće i lokalne javnosti, te kontinuiranog i pravovremenog informiranja i ostvarivanja otvorenog dijaloga sa svim zainteresiranim javnostima,</w:t>
      </w:r>
    </w:p>
    <w:p w14:paraId="7C7FD750" w14:textId="69BF478C"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surađivati s institucijama koje su uključene u Program razgradnje NEK-a i Program odlaganja RAO-a i ING-a ili su iz drugih razloga zainteresirane za razgradnju i odlaganje RAO-a i ING-a te uspostavu Centra za zbrinjavanje radioaktivnog otpada (Međudržavno povjerenstvo, Koordinacijski odbor za provedbu projekta, </w:t>
      </w:r>
      <w:r w:rsidR="00955B28" w:rsidRPr="003A6D7B">
        <w:rPr>
          <w:rFonts w:ascii="Times New Roman" w:hAnsi="Times New Roman" w:cs="Times New Roman"/>
          <w:sz w:val="24"/>
          <w:szCs w:val="24"/>
        </w:rPr>
        <w:t xml:space="preserve">NEK, ARAO, </w:t>
      </w:r>
      <w:r w:rsidRPr="003A6D7B">
        <w:rPr>
          <w:rFonts w:ascii="Times New Roman" w:hAnsi="Times New Roman" w:cs="Times New Roman"/>
          <w:sz w:val="24"/>
          <w:szCs w:val="24"/>
        </w:rPr>
        <w:t>slovenski fond za financiranje razgradnje NEK, Ministarstvo gospodarstva i održivog razvoja, Ministarstvo unutarnjih poslova i dr.),</w:t>
      </w:r>
    </w:p>
    <w:p w14:paraId="4F740528" w14:textId="32294B4A" w:rsidR="003A23D6" w:rsidRPr="003A6D7B" w:rsidRDefault="003A23D6" w:rsidP="00A00D04">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aktivno sudjelovati u procesu izrade </w:t>
      </w:r>
      <w:r w:rsidR="00A00D04" w:rsidRPr="003A6D7B">
        <w:rPr>
          <w:rFonts w:ascii="Times New Roman" w:hAnsi="Times New Roman" w:cs="Times New Roman"/>
          <w:sz w:val="24"/>
          <w:szCs w:val="24"/>
        </w:rPr>
        <w:t xml:space="preserve">strateških dokumenata i regulative od interesa za Fond te </w:t>
      </w:r>
      <w:r w:rsidRPr="003A6D7B">
        <w:rPr>
          <w:rFonts w:ascii="Times New Roman" w:hAnsi="Times New Roman" w:cs="Times New Roman"/>
          <w:sz w:val="24"/>
          <w:szCs w:val="24"/>
        </w:rPr>
        <w:t xml:space="preserve">internih normativnih akata, vezano uz zakonske obveze </w:t>
      </w:r>
      <w:r w:rsidR="00A00D04" w:rsidRPr="003A6D7B">
        <w:rPr>
          <w:rFonts w:ascii="Times New Roman" w:hAnsi="Times New Roman" w:cs="Times New Roman"/>
          <w:sz w:val="24"/>
          <w:szCs w:val="24"/>
        </w:rPr>
        <w:t>i</w:t>
      </w:r>
      <w:r w:rsidRPr="003A6D7B">
        <w:rPr>
          <w:rFonts w:ascii="Times New Roman" w:hAnsi="Times New Roman" w:cs="Times New Roman"/>
          <w:sz w:val="24"/>
          <w:szCs w:val="24"/>
        </w:rPr>
        <w:t xml:space="preserve"> interne procedure (sustav informacijske sigurnosti, sustav kvalitete),</w:t>
      </w:r>
    </w:p>
    <w:p w14:paraId="30F6BB5B" w14:textId="73CB7D14" w:rsidR="003A23D6" w:rsidRPr="003A6D7B" w:rsidRDefault="00A5737E"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provoditi</w:t>
      </w:r>
      <w:r w:rsidR="003A23D6"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postupke </w:t>
      </w:r>
      <w:r w:rsidR="003A23D6" w:rsidRPr="003A6D7B">
        <w:rPr>
          <w:rFonts w:ascii="Times New Roman" w:hAnsi="Times New Roman" w:cs="Times New Roman"/>
          <w:sz w:val="24"/>
          <w:szCs w:val="24"/>
        </w:rPr>
        <w:t xml:space="preserve">javne nabave, </w:t>
      </w:r>
    </w:p>
    <w:p w14:paraId="7D6EF138" w14:textId="608A4DDE" w:rsidR="003A23D6" w:rsidRPr="003A6D7B" w:rsidRDefault="003A23D6"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voditi sustav računovodstva i analitike po vrstama, izdavatelju i rokovima vrijednosnih papira, instrumenata tržišta novca i depozita, te dostavljati izvješća tijelima Fonda i vanjskim nadležnim tijelima (Porezna uprava, Ministarstvo gospodarstva i održivog razvoja, Međudržavno povjerenstvo, FINA i dr.),</w:t>
      </w:r>
    </w:p>
    <w:p w14:paraId="34DA232D" w14:textId="1B75D205" w:rsidR="00A5737E" w:rsidRPr="003A6D7B" w:rsidRDefault="00A5737E"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unaprijediti sustav menadžerskog izvješćivanja nabavkom dodatnih modula za praćenje poslovanja</w:t>
      </w:r>
    </w:p>
    <w:p w14:paraId="1206DC9E" w14:textId="4701A184" w:rsidR="00721C98" w:rsidRPr="003A6D7B" w:rsidRDefault="00721C98" w:rsidP="00902811">
      <w:pPr>
        <w:pStyle w:val="ListParagraph"/>
        <w:spacing w:line="276" w:lineRule="auto"/>
        <w:rPr>
          <w:rFonts w:ascii="Times New Roman" w:hAnsi="Times New Roman" w:cs="Times New Roman"/>
          <w:sz w:val="24"/>
          <w:szCs w:val="24"/>
        </w:rPr>
      </w:pPr>
      <w:r w:rsidRPr="003A6D7B">
        <w:rPr>
          <w:rFonts w:ascii="Times New Roman" w:hAnsi="Times New Roman" w:cs="Times New Roman"/>
          <w:sz w:val="24"/>
          <w:szCs w:val="24"/>
        </w:rPr>
        <w:t>unaprijediti sustav digitalnog upravljanja dokumen</w:t>
      </w:r>
      <w:r w:rsidR="0096676C" w:rsidRPr="003A6D7B">
        <w:rPr>
          <w:rFonts w:ascii="Times New Roman" w:hAnsi="Times New Roman" w:cs="Times New Roman"/>
          <w:sz w:val="24"/>
          <w:szCs w:val="24"/>
        </w:rPr>
        <w:t>tima</w:t>
      </w:r>
      <w:r w:rsidRPr="003A6D7B">
        <w:rPr>
          <w:rFonts w:ascii="Times New Roman" w:hAnsi="Times New Roman" w:cs="Times New Roman"/>
          <w:sz w:val="24"/>
          <w:szCs w:val="24"/>
        </w:rPr>
        <w:t>,</w:t>
      </w:r>
    </w:p>
    <w:p w14:paraId="2428F31F" w14:textId="77777777" w:rsidR="003A23D6" w:rsidRPr="003A6D7B" w:rsidRDefault="003A23D6" w:rsidP="00902811">
      <w:pPr>
        <w:pStyle w:val="ListParagraph"/>
        <w:spacing w:line="276" w:lineRule="auto"/>
        <w:rPr>
          <w:rFonts w:ascii="Times New Roman" w:hAnsi="Times New Roman" w:cs="Times New Roman"/>
          <w:sz w:val="24"/>
          <w:szCs w:val="24"/>
        </w:rPr>
      </w:pPr>
      <w:bookmarkStart w:id="101" w:name="_Toc414027318"/>
      <w:r w:rsidRPr="003A6D7B">
        <w:rPr>
          <w:rFonts w:ascii="Times New Roman" w:hAnsi="Times New Roman" w:cs="Times New Roman"/>
          <w:sz w:val="24"/>
          <w:szCs w:val="24"/>
        </w:rPr>
        <w:t xml:space="preserve">provoditi mjere sigurnosti i osiguranja kvalitete sukladno certifikatima ISO 27001 i ISO 9001, izrađivati potrebne procedure i održavati </w:t>
      </w:r>
      <w:r w:rsidRPr="003A6D7B">
        <w:rPr>
          <w:rFonts w:ascii="Times New Roman" w:hAnsi="Times New Roman" w:cs="Times New Roman"/>
          <w:sz w:val="24"/>
          <w:szCs w:val="24"/>
        </w:rPr>
        <w:lastRenderedPageBreak/>
        <w:t>edukacije djelatnika u cilju održavanja kontinuiteta i sigurnosti poslovanja.</w:t>
      </w:r>
      <w:bookmarkEnd w:id="101"/>
    </w:p>
    <w:p w14:paraId="193BB928" w14:textId="77777777" w:rsidR="009F5F52" w:rsidRPr="003A6D7B" w:rsidRDefault="009F5F52">
      <w:pPr>
        <w:spacing w:after="160"/>
        <w:jc w:val="left"/>
        <w:rPr>
          <w:rFonts w:ascii="Times New Roman" w:hAnsi="Times New Roman" w:cs="Times New Roman"/>
          <w:color w:val="595959" w:themeColor="text1" w:themeTint="A6"/>
          <w:sz w:val="44"/>
          <w:szCs w:val="60"/>
        </w:rPr>
      </w:pPr>
      <w:bookmarkStart w:id="102" w:name="_Toc82432260"/>
      <w:bookmarkStart w:id="103" w:name="_Toc82432261"/>
      <w:bookmarkStart w:id="104" w:name="_Toc26742733"/>
      <w:bookmarkStart w:id="105" w:name="_Toc58937057"/>
      <w:bookmarkStart w:id="106" w:name="_Toc59178446"/>
      <w:bookmarkStart w:id="107" w:name="_Toc62050196"/>
      <w:bookmarkEnd w:id="102"/>
      <w:bookmarkEnd w:id="103"/>
      <w:r w:rsidRPr="003A6D7B">
        <w:rPr>
          <w:rFonts w:ascii="Times New Roman" w:hAnsi="Times New Roman" w:cs="Times New Roman"/>
        </w:rPr>
        <w:br w:type="page"/>
      </w:r>
    </w:p>
    <w:p w14:paraId="0F93A870" w14:textId="29861E0E" w:rsidR="003A23D6" w:rsidRPr="003A6D7B" w:rsidRDefault="003A23D6" w:rsidP="00AF4F25">
      <w:pPr>
        <w:pStyle w:val="Heading1"/>
      </w:pPr>
      <w:bookmarkStart w:id="108" w:name="_Toc130809365"/>
      <w:bookmarkStart w:id="109" w:name="_Hlk130811102"/>
      <w:r w:rsidRPr="003A6D7B">
        <w:lastRenderedPageBreak/>
        <w:t>FINANCIJSKI PLAN</w:t>
      </w:r>
      <w:bookmarkEnd w:id="104"/>
      <w:bookmarkEnd w:id="105"/>
      <w:bookmarkEnd w:id="106"/>
      <w:bookmarkEnd w:id="107"/>
      <w:bookmarkEnd w:id="108"/>
    </w:p>
    <w:p w14:paraId="2EB1801E" w14:textId="2C555530" w:rsidR="003A23D6" w:rsidRPr="003A6D7B" w:rsidRDefault="003A23D6" w:rsidP="00EC5944">
      <w:pPr>
        <w:pStyle w:val="Heading2"/>
        <w:rPr>
          <w:rFonts w:ascii="Times New Roman" w:hAnsi="Times New Roman" w:cs="Times New Roman"/>
        </w:rPr>
      </w:pPr>
      <w:bookmarkStart w:id="110" w:name="_Toc58937058"/>
      <w:bookmarkStart w:id="111" w:name="_Toc59178447"/>
      <w:bookmarkStart w:id="112" w:name="_Toc62050197"/>
      <w:bookmarkStart w:id="113" w:name="_Toc130809366"/>
      <w:r w:rsidRPr="003A6D7B">
        <w:rPr>
          <w:rFonts w:ascii="Times New Roman" w:hAnsi="Times New Roman" w:cs="Times New Roman"/>
        </w:rPr>
        <w:t>Opće smjernice za financijska ulaganja u 202</w:t>
      </w:r>
      <w:r w:rsidR="00CA5062" w:rsidRPr="003A6D7B">
        <w:rPr>
          <w:rFonts w:ascii="Times New Roman" w:hAnsi="Times New Roman" w:cs="Times New Roman"/>
        </w:rPr>
        <w:t>3</w:t>
      </w:r>
      <w:r w:rsidRPr="003A6D7B">
        <w:rPr>
          <w:rFonts w:ascii="Times New Roman" w:hAnsi="Times New Roman" w:cs="Times New Roman"/>
        </w:rPr>
        <w:t>. godini</w:t>
      </w:r>
      <w:bookmarkEnd w:id="110"/>
      <w:bookmarkEnd w:id="111"/>
      <w:bookmarkEnd w:id="112"/>
      <w:bookmarkEnd w:id="113"/>
      <w:r w:rsidRPr="003A6D7B">
        <w:rPr>
          <w:rFonts w:ascii="Times New Roman" w:hAnsi="Times New Roman" w:cs="Times New Roman"/>
        </w:rPr>
        <w:t xml:space="preserve"> </w:t>
      </w:r>
    </w:p>
    <w:p w14:paraId="6DDB9270" w14:textId="77777777" w:rsidR="003B702C" w:rsidRPr="003A6D7B" w:rsidRDefault="003B702C" w:rsidP="00902811">
      <w:pPr>
        <w:spacing w:line="276" w:lineRule="auto"/>
        <w:rPr>
          <w:rFonts w:ascii="Times New Roman" w:eastAsia="Times New Roman" w:hAnsi="Times New Roman" w:cs="Times New Roman"/>
          <w:color w:val="000000"/>
          <w:sz w:val="24"/>
          <w:szCs w:val="24"/>
        </w:rPr>
      </w:pPr>
      <w:r w:rsidRPr="003A6D7B">
        <w:rPr>
          <w:rFonts w:ascii="Times New Roman" w:eastAsia="Times New Roman" w:hAnsi="Times New Roman" w:cs="Times New Roman"/>
          <w:color w:val="000000"/>
          <w:sz w:val="24"/>
          <w:szCs w:val="24"/>
        </w:rPr>
        <w:t>Globalno gospodarstvo će se i u 2023. godini nastaviti suočavati sa značajnim izazovima te se očekuje daljnje usporavanje gospodarskog rasta na 2,7% što bi bila najniža stopa rasta od 2001. godine, izuzev razdoblja globalne financijske krize i akutne faze Covid-19 pandemije. Normalizacija monetarne i nešto manje fiskalne politike nakon snažne potpore tijekom Covid-19 pandemije, trebala bi dovesti do usporavanja rasta stope inflacije na 6,5%. Trenutni rizici za projekcije globalnog gospodarskog rasta su negativni, dok su za stopu inflacije pozitivni.</w:t>
      </w:r>
    </w:p>
    <w:p w14:paraId="1B8DD717" w14:textId="6D334FB2" w:rsidR="003B702C" w:rsidRPr="003A6D7B" w:rsidRDefault="003B702C" w:rsidP="00902811">
      <w:pPr>
        <w:spacing w:line="276" w:lineRule="auto"/>
        <w:rPr>
          <w:rFonts w:ascii="Times New Roman" w:eastAsia="Times New Roman" w:hAnsi="Times New Roman" w:cs="Times New Roman"/>
          <w:color w:val="000000"/>
          <w:sz w:val="24"/>
          <w:szCs w:val="24"/>
        </w:rPr>
      </w:pPr>
      <w:r w:rsidRPr="003A6D7B">
        <w:rPr>
          <w:rFonts w:ascii="Times New Roman" w:eastAsia="Times New Roman" w:hAnsi="Times New Roman" w:cs="Times New Roman"/>
          <w:color w:val="000000"/>
          <w:sz w:val="24"/>
          <w:szCs w:val="24"/>
        </w:rPr>
        <w:t xml:space="preserve">Za američko gospodarstvo očekuje se da će i u 2023. nastaviti blaga pozitivna kretanja od +1%, uz usporavanje stope inflacije na 3,5%. Trenutna očekivanja tržišta su da će FED u ovom ciklusu podizati kamatne stope na razinu od oko 5% i da će to biti ostvareno u proljeće/ljeto 2023. godine.  </w:t>
      </w:r>
    </w:p>
    <w:p w14:paraId="2B813F56" w14:textId="14D07302" w:rsidR="003B702C" w:rsidRPr="003A6D7B" w:rsidRDefault="003B702C" w:rsidP="00902811">
      <w:pPr>
        <w:spacing w:line="276" w:lineRule="auto"/>
        <w:rPr>
          <w:rFonts w:ascii="Times New Roman" w:eastAsia="Times New Roman" w:hAnsi="Times New Roman" w:cs="Times New Roman"/>
          <w:color w:val="000000"/>
          <w:sz w:val="24"/>
          <w:szCs w:val="24"/>
        </w:rPr>
      </w:pPr>
      <w:r w:rsidRPr="003A6D7B">
        <w:rPr>
          <w:rFonts w:ascii="Times New Roman" w:eastAsia="Times New Roman" w:hAnsi="Times New Roman" w:cs="Times New Roman"/>
          <w:color w:val="000000"/>
          <w:sz w:val="24"/>
          <w:szCs w:val="24"/>
        </w:rPr>
        <w:t xml:space="preserve">U baznom scenariju </w:t>
      </w:r>
      <w:r w:rsidR="002A1140">
        <w:rPr>
          <w:rFonts w:ascii="Times New Roman" w:eastAsia="Times New Roman" w:hAnsi="Times New Roman" w:cs="Times New Roman"/>
          <w:color w:val="000000"/>
          <w:sz w:val="24"/>
          <w:szCs w:val="24"/>
        </w:rPr>
        <w:t>Europske središnje banke (ESB)</w:t>
      </w:r>
      <w:r w:rsidR="002A1140" w:rsidRPr="003A6D7B">
        <w:rPr>
          <w:rFonts w:ascii="Times New Roman" w:eastAsia="Times New Roman" w:hAnsi="Times New Roman" w:cs="Times New Roman"/>
          <w:color w:val="000000"/>
          <w:sz w:val="24"/>
          <w:szCs w:val="24"/>
        </w:rPr>
        <w:t xml:space="preserve"> </w:t>
      </w:r>
      <w:r w:rsidRPr="003A6D7B">
        <w:rPr>
          <w:rFonts w:ascii="Times New Roman" w:eastAsia="Times New Roman" w:hAnsi="Times New Roman" w:cs="Times New Roman"/>
          <w:color w:val="000000"/>
          <w:sz w:val="24"/>
          <w:szCs w:val="24"/>
        </w:rPr>
        <w:t xml:space="preserve">iz rujna </w:t>
      </w:r>
      <w:r w:rsidR="002A1140">
        <w:rPr>
          <w:rFonts w:ascii="Times New Roman" w:eastAsia="Times New Roman" w:hAnsi="Times New Roman" w:cs="Times New Roman"/>
          <w:color w:val="000000"/>
          <w:sz w:val="24"/>
          <w:szCs w:val="24"/>
        </w:rPr>
        <w:t>2022.</w:t>
      </w:r>
      <w:r w:rsidR="002A1140" w:rsidRPr="003A6D7B">
        <w:rPr>
          <w:rFonts w:ascii="Times New Roman" w:eastAsia="Times New Roman" w:hAnsi="Times New Roman" w:cs="Times New Roman"/>
          <w:color w:val="000000"/>
          <w:sz w:val="24"/>
          <w:szCs w:val="24"/>
        </w:rPr>
        <w:t xml:space="preserve"> </w:t>
      </w:r>
      <w:r w:rsidRPr="003A6D7B">
        <w:rPr>
          <w:rFonts w:ascii="Times New Roman" w:eastAsia="Times New Roman" w:hAnsi="Times New Roman" w:cs="Times New Roman"/>
          <w:color w:val="000000"/>
          <w:sz w:val="24"/>
          <w:szCs w:val="24"/>
        </w:rPr>
        <w:t>godine, očekuje se da će gospodarski rast u 2023. godini usporiti na 0,9% uz usporavanje stope inflacije na 5,5%. Trenutne procjene podložne su negativnim rizicima vezano uz gospodarski rast i pozitivnim vezano uz inflaciju. Trenutna tržišna očekivanja su da će E</w:t>
      </w:r>
      <w:r w:rsidR="002A1140">
        <w:rPr>
          <w:rFonts w:ascii="Times New Roman" w:eastAsia="Times New Roman" w:hAnsi="Times New Roman" w:cs="Times New Roman"/>
          <w:color w:val="000000"/>
          <w:sz w:val="24"/>
          <w:szCs w:val="24"/>
        </w:rPr>
        <w:t>S</w:t>
      </w:r>
      <w:r w:rsidRPr="003A6D7B">
        <w:rPr>
          <w:rFonts w:ascii="Times New Roman" w:eastAsia="Times New Roman" w:hAnsi="Times New Roman" w:cs="Times New Roman"/>
          <w:color w:val="000000"/>
          <w:sz w:val="24"/>
          <w:szCs w:val="24"/>
        </w:rPr>
        <w:t xml:space="preserve">B u ovom ciklusu podizati kamatne stope na razinu od 3% i da će to biti ostvareno u proljeće/ljeto 2023. godine. </w:t>
      </w:r>
    </w:p>
    <w:p w14:paraId="18677FA4" w14:textId="144AA2BB" w:rsidR="003B702C" w:rsidRPr="003A6D7B" w:rsidRDefault="003B702C" w:rsidP="00902811">
      <w:pPr>
        <w:spacing w:line="276" w:lineRule="auto"/>
        <w:rPr>
          <w:rFonts w:ascii="Times New Roman" w:eastAsia="Times New Roman" w:hAnsi="Times New Roman" w:cs="Times New Roman"/>
          <w:color w:val="000000"/>
          <w:sz w:val="24"/>
          <w:szCs w:val="24"/>
        </w:rPr>
      </w:pPr>
      <w:r w:rsidRPr="003A6D7B">
        <w:rPr>
          <w:rFonts w:ascii="Times New Roman" w:eastAsia="Times New Roman" w:hAnsi="Times New Roman" w:cs="Times New Roman"/>
          <w:color w:val="000000"/>
          <w:sz w:val="24"/>
          <w:szCs w:val="24"/>
        </w:rPr>
        <w:t xml:space="preserve">U Hrvatskoj se predviđa značajno usporavanje gospodarske aktivnosti u 2023. godini. Prema procjeni Ministarstva financija realni rast BDP-a u 2023. godini  trebao bi iznositi 0,7%. Ovakva prognoza odražava očekivano usporavanje gospodarskog rasta u EU i smanjenja inozemne potražnje. Inflacija bi u 2023. godini trebala usporiti na 5,7% uslijed iščezavanja poremećaja u opskrbnim lancima, niže razine uvezene inflacije, kao i visoke osnovice iz 2022. godine. Po uzoru na kretanja na europskom tržištu državnih obveznica, očekujemo uzlazni trend pritiska na prinose u kratkom roku, a nakon toga stabilizaciju i niže prinose u odnosu na trenutačne. </w:t>
      </w:r>
    </w:p>
    <w:p w14:paraId="7E27C287" w14:textId="01F2CE22" w:rsidR="00D979C8" w:rsidRPr="003A6D7B" w:rsidRDefault="003B702C" w:rsidP="00902811">
      <w:pPr>
        <w:spacing w:line="276" w:lineRule="auto"/>
        <w:rPr>
          <w:rFonts w:ascii="Times New Roman" w:hAnsi="Times New Roman" w:cs="Times New Roman"/>
          <w:sz w:val="24"/>
          <w:szCs w:val="24"/>
        </w:rPr>
      </w:pPr>
      <w:r w:rsidRPr="003A6D7B">
        <w:rPr>
          <w:rFonts w:ascii="Times New Roman" w:eastAsia="Times New Roman" w:hAnsi="Times New Roman" w:cs="Times New Roman"/>
          <w:color w:val="000000"/>
          <w:sz w:val="24"/>
          <w:szCs w:val="24"/>
        </w:rPr>
        <w:t>U narednom razdoblju investicijska politika Fonda bit će usmjerena na prevladavanje tržišnih volatilnosti i realizaciju tržišnih prilika za dugoročna pozicioniranja na domaćim i stranim tržištima duga i kapitala. Fond će ulagati u dionice izdavatelja za koje procijeni da imaju niske cijene s obzirom na njihove fundamentalne vrijednosti i stabilan i robustan poslovni model. Geografski gledano, uslijed nedovoljne razvijenosti domaćeg tržišta kapitala, Fond će značajan dio sredstava usmjeriti na strana razvijena tržišta.</w:t>
      </w:r>
    </w:p>
    <w:p w14:paraId="7833D9C1" w14:textId="0F6F81AE" w:rsidR="003A23D6" w:rsidRPr="003A6D7B" w:rsidRDefault="00D979C8"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lastRenderedPageBreak/>
        <w:t>U</w:t>
      </w:r>
      <w:r w:rsidR="009F5F52" w:rsidRPr="003A6D7B">
        <w:rPr>
          <w:rFonts w:ascii="Times New Roman" w:hAnsi="Times New Roman" w:cs="Times New Roman"/>
          <w:sz w:val="24"/>
          <w:szCs w:val="24"/>
        </w:rPr>
        <w:t xml:space="preserve"> sljedećoj tablici da</w:t>
      </w:r>
      <w:r w:rsidRPr="003A6D7B">
        <w:rPr>
          <w:rFonts w:ascii="Times New Roman" w:hAnsi="Times New Roman" w:cs="Times New Roman"/>
          <w:sz w:val="24"/>
          <w:szCs w:val="24"/>
        </w:rPr>
        <w:t>ju se</w:t>
      </w:r>
      <w:r w:rsidR="009F5F52" w:rsidRPr="003A6D7B">
        <w:rPr>
          <w:rFonts w:ascii="Times New Roman" w:hAnsi="Times New Roman" w:cs="Times New Roman"/>
          <w:sz w:val="24"/>
          <w:szCs w:val="24"/>
        </w:rPr>
        <w:t xml:space="preserve"> smjernice ograničenja, omjera i vrsta imovine u koja se sredstva Fonda mogu ulagati u 202</w:t>
      </w:r>
      <w:r w:rsidR="003B702C" w:rsidRPr="003A6D7B">
        <w:rPr>
          <w:rFonts w:ascii="Times New Roman" w:hAnsi="Times New Roman" w:cs="Times New Roman"/>
          <w:sz w:val="24"/>
          <w:szCs w:val="24"/>
        </w:rPr>
        <w:t>3</w:t>
      </w:r>
      <w:r w:rsidR="009F5F52" w:rsidRPr="003A6D7B">
        <w:rPr>
          <w:rFonts w:ascii="Times New Roman" w:hAnsi="Times New Roman" w:cs="Times New Roman"/>
          <w:sz w:val="24"/>
          <w:szCs w:val="24"/>
        </w:rPr>
        <w:t>. godini.</w:t>
      </w:r>
    </w:p>
    <w:p w14:paraId="426EC257" w14:textId="6D208E3C" w:rsidR="00E92266" w:rsidRPr="003A6D7B" w:rsidRDefault="00E92266" w:rsidP="00E92266">
      <w:pPr>
        <w:pStyle w:val="Caption"/>
        <w:keepNext/>
        <w:rPr>
          <w:rFonts w:ascii="Times New Roman" w:hAnsi="Times New Roman" w:cs="Times New Roman"/>
          <w:i w:val="0"/>
          <w:iCs w:val="0"/>
          <w:sz w:val="22"/>
          <w:szCs w:val="22"/>
        </w:rPr>
      </w:pPr>
      <w:bookmarkStart w:id="114" w:name="_Toc130809257"/>
      <w:bookmarkStart w:id="115" w:name="_Toc414027321"/>
      <w:bookmarkStart w:id="116" w:name="_Toc416348025"/>
      <w:bookmarkEnd w:id="109"/>
      <w:r w:rsidRPr="003A6D7B">
        <w:rPr>
          <w:rFonts w:ascii="Times New Roman" w:hAnsi="Times New Roman" w:cs="Times New Roman"/>
          <w:i w:val="0"/>
          <w:iCs w:val="0"/>
          <w:sz w:val="22"/>
          <w:szCs w:val="22"/>
        </w:rPr>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2</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Smjernice </w:t>
      </w:r>
      <w:r w:rsidR="00931C4C" w:rsidRPr="003A6D7B">
        <w:rPr>
          <w:rFonts w:ascii="Times New Roman" w:hAnsi="Times New Roman" w:cs="Times New Roman"/>
          <w:i w:val="0"/>
          <w:iCs w:val="0"/>
          <w:sz w:val="22"/>
          <w:szCs w:val="22"/>
        </w:rPr>
        <w:t>ograničenja, omjera i vrsta imovine za 202</w:t>
      </w:r>
      <w:r w:rsidR="00CA5062" w:rsidRPr="003A6D7B">
        <w:rPr>
          <w:rFonts w:ascii="Times New Roman" w:hAnsi="Times New Roman" w:cs="Times New Roman"/>
          <w:i w:val="0"/>
          <w:iCs w:val="0"/>
          <w:sz w:val="22"/>
          <w:szCs w:val="22"/>
        </w:rPr>
        <w:t>3</w:t>
      </w:r>
      <w:r w:rsidR="00931C4C" w:rsidRPr="003A6D7B">
        <w:rPr>
          <w:rFonts w:ascii="Times New Roman" w:hAnsi="Times New Roman" w:cs="Times New Roman"/>
          <w:i w:val="0"/>
          <w:iCs w:val="0"/>
          <w:sz w:val="22"/>
          <w:szCs w:val="22"/>
        </w:rPr>
        <w:t>. godinu</w:t>
      </w:r>
      <w:bookmarkEnd w:id="114"/>
    </w:p>
    <w:p w14:paraId="709C37E0" w14:textId="1301B68F" w:rsidR="003A23D6" w:rsidRPr="003A6D7B" w:rsidRDefault="003B702C" w:rsidP="00EC5944">
      <w:pPr>
        <w:autoSpaceDE w:val="0"/>
        <w:autoSpaceDN w:val="0"/>
        <w:adjustRightInd w:val="0"/>
        <w:spacing w:line="276" w:lineRule="auto"/>
        <w:rPr>
          <w:rFonts w:ascii="Times New Roman" w:hAnsi="Times New Roman" w:cs="Times New Roman"/>
          <w:bCs/>
        </w:rPr>
      </w:pPr>
      <w:r w:rsidRPr="003A6D7B">
        <w:rPr>
          <w:rFonts w:ascii="Times New Roman" w:hAnsi="Times New Roman" w:cs="Times New Roman"/>
          <w:noProof/>
          <w:lang w:eastAsia="hr-HR"/>
        </w:rPr>
        <w:drawing>
          <wp:inline distT="0" distB="0" distL="0" distR="0" wp14:anchorId="5E045A85" wp14:editId="24E22712">
            <wp:extent cx="5764530" cy="6257925"/>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6257925"/>
                    </a:xfrm>
                    <a:prstGeom prst="rect">
                      <a:avLst/>
                    </a:prstGeom>
                    <a:noFill/>
                    <a:ln>
                      <a:noFill/>
                    </a:ln>
                  </pic:spPr>
                </pic:pic>
              </a:graphicData>
            </a:graphic>
          </wp:inline>
        </w:drawing>
      </w:r>
    </w:p>
    <w:p w14:paraId="34187D38" w14:textId="094A90B5" w:rsidR="003A23D6" w:rsidRPr="003A6D7B" w:rsidRDefault="003A23D6" w:rsidP="00EC5944">
      <w:pPr>
        <w:rPr>
          <w:rFonts w:ascii="Times New Roman" w:hAnsi="Times New Roman" w:cs="Times New Roman"/>
          <w:color w:val="FF0000"/>
          <w:sz w:val="24"/>
          <w:szCs w:val="24"/>
        </w:rPr>
      </w:pPr>
      <w:r w:rsidRPr="003A6D7B">
        <w:rPr>
          <w:rFonts w:ascii="Times New Roman" w:hAnsi="Times New Roman" w:cs="Times New Roman"/>
          <w:sz w:val="24"/>
          <w:szCs w:val="24"/>
        </w:rPr>
        <w:t>Nastavno na smjernice, u tablici ispod daju se projekcij</w:t>
      </w:r>
      <w:r w:rsidR="006B093A" w:rsidRPr="003A6D7B">
        <w:rPr>
          <w:rFonts w:ascii="Times New Roman" w:hAnsi="Times New Roman" w:cs="Times New Roman"/>
          <w:sz w:val="24"/>
          <w:szCs w:val="24"/>
        </w:rPr>
        <w:t>e</w:t>
      </w:r>
      <w:r w:rsidRPr="003A6D7B">
        <w:rPr>
          <w:rFonts w:ascii="Times New Roman" w:hAnsi="Times New Roman" w:cs="Times New Roman"/>
          <w:sz w:val="24"/>
          <w:szCs w:val="24"/>
        </w:rPr>
        <w:t xml:space="preserve"> očekivane strukture ulaganja u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godini:</w:t>
      </w:r>
      <w:bookmarkEnd w:id="115"/>
      <w:bookmarkEnd w:id="116"/>
    </w:p>
    <w:p w14:paraId="33006652" w14:textId="4E92A404" w:rsidR="00931C4C" w:rsidRPr="003A6D7B" w:rsidRDefault="00931C4C" w:rsidP="00931C4C">
      <w:pPr>
        <w:pStyle w:val="Caption"/>
        <w:keepNext/>
        <w:rPr>
          <w:rFonts w:ascii="Times New Roman" w:hAnsi="Times New Roman" w:cs="Times New Roman"/>
          <w:i w:val="0"/>
          <w:iCs w:val="0"/>
          <w:sz w:val="22"/>
          <w:szCs w:val="22"/>
        </w:rPr>
      </w:pPr>
      <w:bookmarkStart w:id="117" w:name="_Toc130809258"/>
      <w:r w:rsidRPr="003A6D7B">
        <w:rPr>
          <w:rFonts w:ascii="Times New Roman" w:hAnsi="Times New Roman" w:cs="Times New Roman"/>
          <w:i w:val="0"/>
          <w:iCs w:val="0"/>
          <w:sz w:val="22"/>
          <w:szCs w:val="22"/>
        </w:rPr>
        <w:lastRenderedPageBreak/>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3</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Alokacija imovine za 202</w:t>
      </w:r>
      <w:r w:rsidR="00CA5062" w:rsidRPr="003A6D7B">
        <w:rPr>
          <w:rFonts w:ascii="Times New Roman" w:hAnsi="Times New Roman" w:cs="Times New Roman"/>
          <w:i w:val="0"/>
          <w:iCs w:val="0"/>
          <w:sz w:val="22"/>
          <w:szCs w:val="22"/>
        </w:rPr>
        <w:t>3</w:t>
      </w:r>
      <w:r w:rsidRPr="003A6D7B">
        <w:rPr>
          <w:rFonts w:ascii="Times New Roman" w:hAnsi="Times New Roman" w:cs="Times New Roman"/>
          <w:i w:val="0"/>
          <w:iCs w:val="0"/>
          <w:sz w:val="22"/>
          <w:szCs w:val="22"/>
        </w:rPr>
        <w:t>. godinu</w:t>
      </w:r>
      <w:r w:rsidR="006F035A" w:rsidRPr="003A6D7B">
        <w:rPr>
          <w:rFonts w:ascii="Times New Roman" w:hAnsi="Times New Roman" w:cs="Times New Roman"/>
          <w:i w:val="0"/>
          <w:iCs w:val="0"/>
          <w:sz w:val="22"/>
          <w:szCs w:val="22"/>
        </w:rPr>
        <w:t xml:space="preserve"> (u mil. </w:t>
      </w:r>
      <w:r w:rsidR="003B702C" w:rsidRPr="003A6D7B">
        <w:rPr>
          <w:rFonts w:ascii="Times New Roman" w:hAnsi="Times New Roman" w:cs="Times New Roman"/>
          <w:i w:val="0"/>
          <w:iCs w:val="0"/>
          <w:sz w:val="22"/>
          <w:szCs w:val="22"/>
        </w:rPr>
        <w:t>EUR</w:t>
      </w:r>
      <w:r w:rsidR="006F035A" w:rsidRPr="003A6D7B">
        <w:rPr>
          <w:rFonts w:ascii="Times New Roman" w:hAnsi="Times New Roman" w:cs="Times New Roman"/>
          <w:i w:val="0"/>
          <w:iCs w:val="0"/>
          <w:sz w:val="22"/>
          <w:szCs w:val="22"/>
        </w:rPr>
        <w:t>)</w:t>
      </w:r>
      <w:bookmarkEnd w:id="117"/>
    </w:p>
    <w:p w14:paraId="51EE7613" w14:textId="647FBCC3" w:rsidR="00EC5944" w:rsidRPr="003A6D7B" w:rsidRDefault="003B702C" w:rsidP="005D4EFD">
      <w:pPr>
        <w:autoSpaceDE w:val="0"/>
        <w:autoSpaceDN w:val="0"/>
        <w:adjustRightInd w:val="0"/>
        <w:spacing w:before="120" w:line="276" w:lineRule="auto"/>
        <w:rPr>
          <w:rFonts w:ascii="Times New Roman" w:hAnsi="Times New Roman" w:cs="Times New Roman"/>
        </w:rPr>
      </w:pPr>
      <w:r w:rsidRPr="003A6D7B">
        <w:rPr>
          <w:rFonts w:ascii="Times New Roman" w:hAnsi="Times New Roman" w:cs="Times New Roman"/>
          <w:noProof/>
          <w:lang w:eastAsia="hr-HR"/>
        </w:rPr>
        <w:drawing>
          <wp:inline distT="0" distB="0" distL="0" distR="0" wp14:anchorId="13CE06E5" wp14:editId="718FBFD0">
            <wp:extent cx="6106795" cy="270065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6795" cy="2700655"/>
                    </a:xfrm>
                    <a:prstGeom prst="rect">
                      <a:avLst/>
                    </a:prstGeom>
                    <a:noFill/>
                    <a:ln>
                      <a:noFill/>
                    </a:ln>
                  </pic:spPr>
                </pic:pic>
              </a:graphicData>
            </a:graphic>
          </wp:inline>
        </w:drawing>
      </w:r>
    </w:p>
    <w:p w14:paraId="1CF7D6D0" w14:textId="77777777" w:rsidR="003B702C" w:rsidRPr="003A6D7B" w:rsidRDefault="003B702C" w:rsidP="00902811">
      <w:pPr>
        <w:spacing w:line="276" w:lineRule="auto"/>
        <w:rPr>
          <w:rFonts w:ascii="Times New Roman" w:eastAsia="Times New Roman" w:hAnsi="Times New Roman" w:cs="Times New Roman"/>
          <w:color w:val="000000"/>
          <w:sz w:val="24"/>
          <w:szCs w:val="24"/>
        </w:rPr>
      </w:pPr>
      <w:r w:rsidRPr="003A6D7B">
        <w:rPr>
          <w:rFonts w:ascii="Times New Roman" w:eastAsia="Times New Roman" w:hAnsi="Times New Roman" w:cs="Times New Roman"/>
          <w:color w:val="000000"/>
          <w:sz w:val="24"/>
          <w:szCs w:val="24"/>
        </w:rPr>
        <w:t xml:space="preserve">Prema iskazanoj projekciji stanja portfelja na 31.12.2023. godine, evidentan je daljnji zaokret prema rizičnijim klasama imovine. To se očituje kroz povećano ulaganje u dionice u ukupnom iznosu od cca 13 mil. EUR što bi dionički portfelj dovelo do razine od 69 mil. EUR, od čega se na dionice domaćih izdavatelja odnosi 44 mil. EUR, a na strane izdavatelje 25 mil. EUR. Osim kroz direktno ulaganje u dionice Fond će izloženost prema vlasničkim vrijednosnim papirima, u situacijama kada je to efikasnije i troškovno učinkovitije, stjecati i kroz ulaganja u fondove. Pritom se prvenstveno misli na ETF-ove i alternativne investicijske fondove (Private Equity), ali i UCITS fondove. U 2023. planirano dodatno ulaganje u fondove iznosi 11 mil. EUR što bi fondovski portfelj dovelo do razine od 53 mil. EUR, od čega 13 mil. EUR domaći fondovi te 40 mil. EUR strani fondovi. Potrebno je napomenuti da je kroz period 2022.-2027. preuzeta obveza (hard commitment) i iskazan interes (soft commitment) za ulaganje u Private Equity fondove s različitim investicijskim strategijama u ukupnom iznosu od oko 50 mil. EUR. Predviđeni vremenski horizont ulaganja iznosi od 1-10 godina ovisno o razvoju situacije na tržištu novca i kapitala, kao i specifičnostima pojedinog ulaganja. </w:t>
      </w:r>
    </w:p>
    <w:p w14:paraId="5555D147" w14:textId="77777777" w:rsidR="003B702C" w:rsidRPr="003A6D7B" w:rsidRDefault="003B702C" w:rsidP="00902811">
      <w:pPr>
        <w:spacing w:line="276" w:lineRule="auto"/>
        <w:rPr>
          <w:rFonts w:ascii="Times New Roman" w:eastAsia="Times New Roman" w:hAnsi="Times New Roman" w:cs="Times New Roman"/>
          <w:color w:val="000000"/>
          <w:sz w:val="24"/>
          <w:szCs w:val="24"/>
        </w:rPr>
      </w:pPr>
      <w:r w:rsidRPr="003A6D7B">
        <w:rPr>
          <w:rFonts w:ascii="Times New Roman" w:eastAsia="Times New Roman" w:hAnsi="Times New Roman" w:cs="Times New Roman"/>
          <w:color w:val="000000"/>
          <w:sz w:val="24"/>
          <w:szCs w:val="24"/>
        </w:rPr>
        <w:t>Navedena planirana ulaganja mogu pokazati određena odstupanja, ovisno o stanju i kretanju na tržištu novca i kapitala u 2023. godini.</w:t>
      </w:r>
    </w:p>
    <w:p w14:paraId="0F763962" w14:textId="34805AA4" w:rsidR="003A23D6" w:rsidRPr="003A6D7B" w:rsidRDefault="009F5F52" w:rsidP="00902811">
      <w:pPr>
        <w:spacing w:line="276" w:lineRule="auto"/>
        <w:rPr>
          <w:rFonts w:ascii="Times New Roman" w:hAnsi="Times New Roman" w:cs="Times New Roman"/>
          <w:sz w:val="24"/>
          <w:szCs w:val="24"/>
        </w:rPr>
      </w:pPr>
      <w:r w:rsidRPr="003A6D7B">
        <w:rPr>
          <w:rFonts w:ascii="Times New Roman" w:hAnsi="Times New Roman" w:cs="Times New Roman"/>
          <w:sz w:val="24"/>
          <w:szCs w:val="24"/>
        </w:rPr>
        <w:t>Nakon uzimanja u obzir navedenih makroekonomskih projekcija i rizika ostvarenja istih, predloženih smjernica ograničenja ulaganja za 202</w:t>
      </w:r>
      <w:r w:rsidR="003B702C" w:rsidRPr="003A6D7B">
        <w:rPr>
          <w:rFonts w:ascii="Times New Roman" w:hAnsi="Times New Roman" w:cs="Times New Roman"/>
          <w:sz w:val="24"/>
          <w:szCs w:val="24"/>
        </w:rPr>
        <w:t>3</w:t>
      </w:r>
      <w:r w:rsidRPr="003A6D7B">
        <w:rPr>
          <w:rFonts w:ascii="Times New Roman" w:hAnsi="Times New Roman" w:cs="Times New Roman"/>
          <w:sz w:val="24"/>
          <w:szCs w:val="24"/>
        </w:rPr>
        <w:t>. godinu, kretanja visine kamatnih stopa, trenutačne strukture uloženih sredstava Fonda, a prioritetno uvažavajući načelo sigurnosti ulaganja, očekuje se neto prinos Fonda u 202</w:t>
      </w:r>
      <w:r w:rsidR="003B702C" w:rsidRPr="003A6D7B">
        <w:rPr>
          <w:rFonts w:ascii="Times New Roman" w:hAnsi="Times New Roman" w:cs="Times New Roman"/>
          <w:sz w:val="24"/>
          <w:szCs w:val="24"/>
        </w:rPr>
        <w:t>3</w:t>
      </w:r>
      <w:r w:rsidRPr="003A6D7B">
        <w:rPr>
          <w:rFonts w:ascii="Times New Roman" w:hAnsi="Times New Roman" w:cs="Times New Roman"/>
          <w:sz w:val="24"/>
          <w:szCs w:val="24"/>
        </w:rPr>
        <w:t xml:space="preserve">. godini u rasponu od </w:t>
      </w:r>
      <w:r w:rsidR="003B702C" w:rsidRPr="003A6D7B">
        <w:rPr>
          <w:rFonts w:ascii="Times New Roman" w:hAnsi="Times New Roman" w:cs="Times New Roman"/>
          <w:sz w:val="24"/>
          <w:szCs w:val="24"/>
        </w:rPr>
        <w:t>2,5</w:t>
      </w:r>
      <w:r w:rsidRPr="003A6D7B">
        <w:rPr>
          <w:rFonts w:ascii="Times New Roman" w:hAnsi="Times New Roman" w:cs="Times New Roman"/>
          <w:sz w:val="24"/>
          <w:szCs w:val="24"/>
        </w:rPr>
        <w:t>-</w:t>
      </w:r>
      <w:r w:rsidR="003B702C" w:rsidRPr="003A6D7B">
        <w:rPr>
          <w:rFonts w:ascii="Times New Roman" w:hAnsi="Times New Roman" w:cs="Times New Roman"/>
          <w:sz w:val="24"/>
          <w:szCs w:val="24"/>
        </w:rPr>
        <w:t>3,5</w:t>
      </w:r>
      <w:r w:rsidRPr="003A6D7B">
        <w:rPr>
          <w:rFonts w:ascii="Times New Roman" w:hAnsi="Times New Roman" w:cs="Times New Roman"/>
          <w:sz w:val="24"/>
          <w:szCs w:val="24"/>
        </w:rPr>
        <w:t>%</w:t>
      </w:r>
      <w:r w:rsidR="003B702C" w:rsidRPr="003A6D7B">
        <w:rPr>
          <w:rFonts w:ascii="Times New Roman" w:hAnsi="Times New Roman" w:cs="Times New Roman"/>
          <w:sz w:val="24"/>
          <w:szCs w:val="24"/>
        </w:rPr>
        <w:t xml:space="preserve"> na prosječno stanje financijske imovine</w:t>
      </w:r>
      <w:r w:rsidRPr="003A6D7B">
        <w:rPr>
          <w:rFonts w:ascii="Times New Roman" w:hAnsi="Times New Roman" w:cs="Times New Roman"/>
          <w:sz w:val="24"/>
          <w:szCs w:val="24"/>
        </w:rPr>
        <w:t>.</w:t>
      </w:r>
    </w:p>
    <w:p w14:paraId="682BE037" w14:textId="562C0CF6" w:rsidR="00A019B8" w:rsidRPr="003A6D7B" w:rsidRDefault="00A019B8" w:rsidP="009F5F52">
      <w:pPr>
        <w:rPr>
          <w:rFonts w:ascii="Times New Roman" w:hAnsi="Times New Roman" w:cs="Times New Roman"/>
        </w:rPr>
      </w:pPr>
    </w:p>
    <w:p w14:paraId="72FA12D4" w14:textId="77777777" w:rsidR="00397D9C" w:rsidRPr="003A6D7B" w:rsidRDefault="00397D9C" w:rsidP="009F5F52">
      <w:pPr>
        <w:rPr>
          <w:rFonts w:ascii="Times New Roman" w:hAnsi="Times New Roman" w:cs="Times New Roman"/>
        </w:rPr>
      </w:pPr>
    </w:p>
    <w:p w14:paraId="458425CA" w14:textId="5EF945D1" w:rsidR="003A23D6" w:rsidRPr="003A6D7B" w:rsidRDefault="003A23D6" w:rsidP="00EC5944">
      <w:pPr>
        <w:pStyle w:val="Heading2"/>
        <w:rPr>
          <w:rFonts w:ascii="Times New Roman" w:hAnsi="Times New Roman" w:cs="Times New Roman"/>
        </w:rPr>
      </w:pPr>
      <w:bookmarkStart w:id="118" w:name="_Toc26742735"/>
      <w:bookmarkStart w:id="119" w:name="_Toc58937059"/>
      <w:bookmarkStart w:id="120" w:name="_Toc59178448"/>
      <w:bookmarkStart w:id="121" w:name="_Toc62050198"/>
      <w:bookmarkStart w:id="122" w:name="_Toc130809367"/>
      <w:r w:rsidRPr="003A6D7B">
        <w:rPr>
          <w:rFonts w:ascii="Times New Roman" w:hAnsi="Times New Roman" w:cs="Times New Roman"/>
        </w:rPr>
        <w:lastRenderedPageBreak/>
        <w:t>Plan prihoda, rashoda i neto vrijednosti imovine Fonda</w:t>
      </w:r>
      <w:bookmarkEnd w:id="118"/>
      <w:bookmarkEnd w:id="119"/>
      <w:bookmarkEnd w:id="120"/>
      <w:bookmarkEnd w:id="121"/>
      <w:bookmarkEnd w:id="122"/>
    </w:p>
    <w:p w14:paraId="79AA9145" w14:textId="1E1A69EF" w:rsidR="003A23D6" w:rsidRPr="003A6D7B" w:rsidRDefault="00A019B8" w:rsidP="00902811">
      <w:pPr>
        <w:spacing w:line="276" w:lineRule="auto"/>
        <w:rPr>
          <w:rFonts w:ascii="Times New Roman" w:hAnsi="Times New Roman" w:cs="Times New Roman"/>
          <w:sz w:val="24"/>
          <w:szCs w:val="24"/>
        </w:rPr>
      </w:pPr>
      <w:bookmarkStart w:id="123" w:name="_Toc26742736"/>
      <w:r w:rsidRPr="003A6D7B">
        <w:rPr>
          <w:rFonts w:ascii="Times New Roman" w:hAnsi="Times New Roman" w:cs="Times New Roman"/>
          <w:sz w:val="24"/>
          <w:szCs w:val="24"/>
        </w:rPr>
        <w:t>Na temelju (1) makroekonomske projekcije za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godinu</w:t>
      </w:r>
      <w:r w:rsidR="003B702C" w:rsidRPr="003A6D7B">
        <w:rPr>
          <w:rFonts w:ascii="Times New Roman" w:hAnsi="Times New Roman" w:cs="Times New Roman"/>
          <w:sz w:val="24"/>
          <w:szCs w:val="24"/>
        </w:rPr>
        <w:t>, (2)</w:t>
      </w:r>
      <w:r w:rsidRPr="003A6D7B">
        <w:rPr>
          <w:rFonts w:ascii="Times New Roman" w:hAnsi="Times New Roman" w:cs="Times New Roman"/>
          <w:sz w:val="24"/>
          <w:szCs w:val="24"/>
        </w:rPr>
        <w:t xml:space="preserve"> projicirane stope neto prinosa u rasponu od </w:t>
      </w:r>
      <w:r w:rsidR="003B702C" w:rsidRPr="003A6D7B">
        <w:rPr>
          <w:rFonts w:ascii="Times New Roman" w:hAnsi="Times New Roman" w:cs="Times New Roman"/>
          <w:sz w:val="24"/>
          <w:szCs w:val="24"/>
        </w:rPr>
        <w:t>2,5</w:t>
      </w:r>
      <w:r w:rsidRPr="003A6D7B">
        <w:rPr>
          <w:rFonts w:ascii="Times New Roman" w:hAnsi="Times New Roman" w:cs="Times New Roman"/>
          <w:sz w:val="24"/>
          <w:szCs w:val="24"/>
        </w:rPr>
        <w:t>-</w:t>
      </w:r>
      <w:r w:rsidR="003B702C" w:rsidRPr="003A6D7B">
        <w:rPr>
          <w:rFonts w:ascii="Times New Roman" w:hAnsi="Times New Roman" w:cs="Times New Roman"/>
          <w:sz w:val="24"/>
          <w:szCs w:val="24"/>
        </w:rPr>
        <w:t>3,5</w:t>
      </w:r>
      <w:r w:rsidRPr="003A6D7B">
        <w:rPr>
          <w:rFonts w:ascii="Times New Roman" w:hAnsi="Times New Roman" w:cs="Times New Roman"/>
          <w:sz w:val="24"/>
          <w:szCs w:val="24"/>
        </w:rPr>
        <w:t>% na ulaganja u financijsku imovinu</w:t>
      </w:r>
      <w:r w:rsidR="003B702C" w:rsidRPr="003A6D7B">
        <w:rPr>
          <w:rFonts w:ascii="Times New Roman" w:hAnsi="Times New Roman" w:cs="Times New Roman"/>
          <w:sz w:val="24"/>
          <w:szCs w:val="24"/>
        </w:rPr>
        <w:t xml:space="preserve"> te </w:t>
      </w:r>
      <w:r w:rsidRPr="003A6D7B">
        <w:rPr>
          <w:rFonts w:ascii="Times New Roman" w:hAnsi="Times New Roman" w:cs="Times New Roman"/>
          <w:sz w:val="24"/>
          <w:szCs w:val="24"/>
        </w:rPr>
        <w:t>(</w:t>
      </w:r>
      <w:r w:rsidR="003B702C" w:rsidRPr="003A6D7B">
        <w:rPr>
          <w:rFonts w:ascii="Times New Roman" w:hAnsi="Times New Roman" w:cs="Times New Roman"/>
          <w:sz w:val="24"/>
          <w:szCs w:val="24"/>
        </w:rPr>
        <w:t>3</w:t>
      </w:r>
      <w:r w:rsidRPr="003A6D7B">
        <w:rPr>
          <w:rFonts w:ascii="Times New Roman" w:hAnsi="Times New Roman" w:cs="Times New Roman"/>
          <w:sz w:val="24"/>
          <w:szCs w:val="24"/>
        </w:rPr>
        <w:t xml:space="preserve">) reducirane uplate HEP-ovih obveza prema Fondu, u nastavku teksta se daje plan prihoda, rashoda i očekivana neto vrijednost imovine na dan 31. </w:t>
      </w:r>
      <w:r w:rsidR="002E3FE4" w:rsidRPr="003A6D7B">
        <w:rPr>
          <w:rFonts w:ascii="Times New Roman" w:hAnsi="Times New Roman" w:cs="Times New Roman"/>
          <w:sz w:val="24"/>
          <w:szCs w:val="24"/>
        </w:rPr>
        <w:t>12.</w:t>
      </w:r>
      <w:r w:rsidRPr="003A6D7B">
        <w:rPr>
          <w:rFonts w:ascii="Times New Roman" w:hAnsi="Times New Roman" w:cs="Times New Roman"/>
          <w:sz w:val="24"/>
          <w:szCs w:val="24"/>
        </w:rPr>
        <w:t xml:space="preserve">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godine, zajedno sa pripadajućim pokazateljima poslovanja.</w:t>
      </w:r>
    </w:p>
    <w:p w14:paraId="765EBBF4" w14:textId="77777777" w:rsidR="00902811" w:rsidRPr="003A6D7B" w:rsidRDefault="00902811" w:rsidP="00902811">
      <w:pPr>
        <w:spacing w:line="276" w:lineRule="auto"/>
        <w:rPr>
          <w:rFonts w:ascii="Times New Roman" w:hAnsi="Times New Roman" w:cs="Times New Roman"/>
        </w:rPr>
      </w:pPr>
    </w:p>
    <w:p w14:paraId="089AA91A" w14:textId="08383167" w:rsidR="003A23D6" w:rsidRPr="003A6D7B" w:rsidRDefault="003A23D6" w:rsidP="003A23D6">
      <w:pPr>
        <w:pStyle w:val="Heading3"/>
        <w:rPr>
          <w:rFonts w:ascii="Times New Roman" w:hAnsi="Times New Roman" w:cs="Times New Roman"/>
          <w:sz w:val="28"/>
          <w:szCs w:val="28"/>
        </w:rPr>
      </w:pPr>
      <w:bookmarkStart w:id="124" w:name="_Toc58937060"/>
      <w:bookmarkStart w:id="125" w:name="_Toc59178449"/>
      <w:bookmarkStart w:id="126" w:name="_Toc62050199"/>
      <w:bookmarkStart w:id="127" w:name="_Toc130809368"/>
      <w:r w:rsidRPr="003A6D7B">
        <w:rPr>
          <w:rStyle w:val="NormaljustifyChar"/>
          <w:rFonts w:ascii="Times New Roman" w:eastAsiaTheme="majorEastAsia" w:hAnsi="Times New Roman"/>
          <w:sz w:val="28"/>
          <w:szCs w:val="28"/>
          <w:lang w:val="hr-HR"/>
        </w:rPr>
        <w:t>Financijski prihodi</w:t>
      </w:r>
      <w:bookmarkEnd w:id="123"/>
      <w:r w:rsidRPr="003A6D7B">
        <w:rPr>
          <w:rStyle w:val="NormaljustifyChar"/>
          <w:rFonts w:ascii="Times New Roman" w:eastAsiaTheme="majorEastAsia" w:hAnsi="Times New Roman"/>
          <w:sz w:val="28"/>
          <w:szCs w:val="28"/>
          <w:lang w:val="hr-HR"/>
        </w:rPr>
        <w:t xml:space="preserve"> i rashodi</w:t>
      </w:r>
      <w:bookmarkEnd w:id="124"/>
      <w:bookmarkEnd w:id="125"/>
      <w:bookmarkEnd w:id="126"/>
      <w:bookmarkEnd w:id="127"/>
    </w:p>
    <w:p w14:paraId="78FDA872" w14:textId="22167742" w:rsidR="00931C4C" w:rsidRPr="003A6D7B" w:rsidRDefault="00931C4C" w:rsidP="00931C4C">
      <w:pPr>
        <w:pStyle w:val="Caption"/>
        <w:keepNext/>
        <w:rPr>
          <w:rFonts w:ascii="Times New Roman" w:hAnsi="Times New Roman" w:cs="Times New Roman"/>
          <w:i w:val="0"/>
          <w:iCs w:val="0"/>
          <w:sz w:val="22"/>
          <w:szCs w:val="22"/>
        </w:rPr>
      </w:pPr>
      <w:bookmarkStart w:id="128" w:name="_Toc130809259"/>
      <w:bookmarkStart w:id="129" w:name="_Toc26742737"/>
      <w:r w:rsidRPr="003A6D7B">
        <w:rPr>
          <w:rFonts w:ascii="Times New Roman" w:hAnsi="Times New Roman" w:cs="Times New Roman"/>
          <w:i w:val="0"/>
          <w:iCs w:val="0"/>
          <w:sz w:val="22"/>
          <w:szCs w:val="22"/>
        </w:rPr>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4</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Financijski prihodi i rashodi</w:t>
      </w:r>
      <w:bookmarkEnd w:id="128"/>
    </w:p>
    <w:p w14:paraId="50570CB3" w14:textId="4BA8AD4D" w:rsidR="00EC5944" w:rsidRPr="003A6D7B" w:rsidRDefault="000C66BD" w:rsidP="00A019B8">
      <w:pPr>
        <w:rPr>
          <w:rFonts w:ascii="Times New Roman" w:hAnsi="Times New Roman" w:cs="Times New Roman"/>
        </w:rPr>
      </w:pPr>
      <w:r w:rsidRPr="003A6D7B">
        <w:rPr>
          <w:rFonts w:ascii="Times New Roman" w:hAnsi="Times New Roman" w:cs="Times New Roman"/>
          <w:noProof/>
          <w:lang w:eastAsia="hr-HR"/>
        </w:rPr>
        <w:drawing>
          <wp:inline distT="0" distB="0" distL="0" distR="0" wp14:anchorId="5DCDA02B" wp14:editId="29BAEFFC">
            <wp:extent cx="6106795" cy="38550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6795" cy="3855085"/>
                    </a:xfrm>
                    <a:prstGeom prst="rect">
                      <a:avLst/>
                    </a:prstGeom>
                    <a:noFill/>
                    <a:ln>
                      <a:noFill/>
                    </a:ln>
                  </pic:spPr>
                </pic:pic>
              </a:graphicData>
            </a:graphic>
          </wp:inline>
        </w:drawing>
      </w:r>
    </w:p>
    <w:p w14:paraId="6EEADDD4" w14:textId="3FF633B4" w:rsidR="00A019B8" w:rsidRPr="003A6D7B" w:rsidRDefault="00A019B8" w:rsidP="005D4393">
      <w:pPr>
        <w:spacing w:line="276" w:lineRule="auto"/>
        <w:rPr>
          <w:rFonts w:ascii="Times New Roman" w:hAnsi="Times New Roman" w:cs="Times New Roman"/>
          <w:sz w:val="24"/>
          <w:szCs w:val="24"/>
        </w:rPr>
      </w:pPr>
      <w:bookmarkStart w:id="130" w:name="_Toc58937061"/>
      <w:r w:rsidRPr="003A6D7B">
        <w:rPr>
          <w:rFonts w:ascii="Times New Roman" w:hAnsi="Times New Roman" w:cs="Times New Roman"/>
          <w:sz w:val="24"/>
          <w:szCs w:val="24"/>
        </w:rPr>
        <w:t>Nastavno na projekcije kretanja lokalnog i globalnog tržišta u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godini, očekuje se:</w:t>
      </w:r>
    </w:p>
    <w:p w14:paraId="699DE912" w14:textId="77777777" w:rsidR="00984057" w:rsidRPr="003A6D7B" w:rsidRDefault="00984057" w:rsidP="005D4393">
      <w:pPr>
        <w:rPr>
          <w:rFonts w:ascii="Times New Roman" w:eastAsiaTheme="minorHAnsi" w:hAnsi="Times New Roman" w:cs="Times New Roman"/>
          <w:color w:val="auto"/>
          <w:sz w:val="24"/>
          <w:szCs w:val="24"/>
        </w:rPr>
      </w:pPr>
      <w:r w:rsidRPr="003A6D7B">
        <w:rPr>
          <w:rFonts w:ascii="Times New Roman" w:hAnsi="Times New Roman" w:cs="Times New Roman"/>
          <w:b/>
          <w:bCs/>
          <w:sz w:val="24"/>
          <w:szCs w:val="24"/>
        </w:rPr>
        <w:t>Neto prihod od ulaganja</w:t>
      </w:r>
      <w:r w:rsidRPr="003A6D7B">
        <w:rPr>
          <w:rFonts w:ascii="Times New Roman" w:hAnsi="Times New Roman" w:cs="Times New Roman"/>
          <w:sz w:val="24"/>
          <w:szCs w:val="24"/>
        </w:rPr>
        <w:t xml:space="preserve"> je planiran u iznosu od 11,2 mil. EUR, a odnosi se na </w:t>
      </w:r>
    </w:p>
    <w:p w14:paraId="6A034801" w14:textId="77777777" w:rsidR="00984057" w:rsidRPr="003A6D7B" w:rsidRDefault="00984057" w:rsidP="005D4393">
      <w:pPr>
        <w:pStyle w:val="ListParagraph"/>
        <w:numPr>
          <w:ilvl w:val="0"/>
          <w:numId w:val="12"/>
        </w:numPr>
        <w:spacing w:after="0" w:line="276" w:lineRule="auto"/>
        <w:ind w:left="714" w:hanging="357"/>
        <w:contextualSpacing w:val="0"/>
        <w:rPr>
          <w:rFonts w:ascii="Times New Roman" w:eastAsia="Times New Roman" w:hAnsi="Times New Roman" w:cs="Times New Roman"/>
          <w:sz w:val="24"/>
          <w:szCs w:val="24"/>
        </w:rPr>
      </w:pPr>
      <w:r w:rsidRPr="003A6D7B">
        <w:rPr>
          <w:rFonts w:ascii="Times New Roman" w:eastAsia="Times New Roman" w:hAnsi="Times New Roman" w:cs="Times New Roman"/>
          <w:sz w:val="24"/>
          <w:szCs w:val="24"/>
        </w:rPr>
        <w:t>kapitalne neto dobitke u iznosu od 2,9 mil. EUR, pod pretpostavkom izlaska iz većih dioničkih pozicija u lokalnim izdanjima na izdašnim cjenovnim nivoima koji će biti donekle umanjeni očekivanim dodatnim korekcijama na obvezničkim pozicijama uslijed daljnjeg rasta kamatnih stopa na EUR</w:t>
      </w:r>
    </w:p>
    <w:p w14:paraId="1AEE40DB" w14:textId="77777777" w:rsidR="00984057" w:rsidRPr="003A6D7B" w:rsidRDefault="00984057" w:rsidP="005D4393">
      <w:pPr>
        <w:pStyle w:val="ListParagraph"/>
        <w:numPr>
          <w:ilvl w:val="0"/>
          <w:numId w:val="12"/>
        </w:numPr>
        <w:spacing w:after="0" w:line="276" w:lineRule="auto"/>
        <w:ind w:left="714" w:hanging="357"/>
        <w:contextualSpacing w:val="0"/>
        <w:rPr>
          <w:rFonts w:ascii="Times New Roman" w:eastAsia="Times New Roman" w:hAnsi="Times New Roman" w:cs="Times New Roman"/>
          <w:sz w:val="24"/>
          <w:szCs w:val="24"/>
        </w:rPr>
      </w:pPr>
      <w:r w:rsidRPr="003A6D7B">
        <w:rPr>
          <w:rFonts w:ascii="Times New Roman" w:eastAsia="Times New Roman" w:hAnsi="Times New Roman" w:cs="Times New Roman"/>
          <w:sz w:val="24"/>
          <w:szCs w:val="24"/>
        </w:rPr>
        <w:lastRenderedPageBreak/>
        <w:t>kamatne prihode u iznosu od 7,4 mil EUR koji su u najvećoj mjeri vezani uz kamatne prihode po obveznicama te u manjoj mjeri vezani uz kamatne prihode po depozitima</w:t>
      </w:r>
    </w:p>
    <w:p w14:paraId="413ADA04" w14:textId="40CCA9A1" w:rsidR="00984057" w:rsidRPr="003A6D7B" w:rsidRDefault="00984057" w:rsidP="005D4393">
      <w:pPr>
        <w:pStyle w:val="ListParagraph"/>
        <w:numPr>
          <w:ilvl w:val="0"/>
          <w:numId w:val="12"/>
        </w:numPr>
        <w:spacing w:after="0" w:line="276" w:lineRule="auto"/>
        <w:contextualSpacing w:val="0"/>
        <w:rPr>
          <w:rFonts w:ascii="Times New Roman" w:eastAsia="Times New Roman" w:hAnsi="Times New Roman" w:cs="Times New Roman"/>
          <w:sz w:val="24"/>
          <w:szCs w:val="24"/>
        </w:rPr>
      </w:pPr>
      <w:r w:rsidRPr="003A6D7B">
        <w:rPr>
          <w:rFonts w:ascii="Times New Roman" w:eastAsia="Times New Roman" w:hAnsi="Times New Roman" w:cs="Times New Roman"/>
          <w:sz w:val="24"/>
          <w:szCs w:val="24"/>
        </w:rPr>
        <w:t>prihode od dividendi i ostale prihode u iznosu od 1,3 mil. EUR</w:t>
      </w:r>
    </w:p>
    <w:p w14:paraId="069469BF" w14:textId="6C6BDD73" w:rsidR="00984057" w:rsidRPr="003A6D7B" w:rsidRDefault="00984057" w:rsidP="005D4393">
      <w:pPr>
        <w:pStyle w:val="ListParagraph"/>
        <w:numPr>
          <w:ilvl w:val="0"/>
          <w:numId w:val="12"/>
        </w:numPr>
        <w:spacing w:after="0" w:line="276" w:lineRule="auto"/>
        <w:contextualSpacing w:val="0"/>
        <w:rPr>
          <w:rFonts w:ascii="Times New Roman" w:eastAsia="Times New Roman" w:hAnsi="Times New Roman" w:cs="Times New Roman"/>
          <w:sz w:val="24"/>
          <w:szCs w:val="24"/>
        </w:rPr>
      </w:pPr>
      <w:r w:rsidRPr="003A6D7B">
        <w:rPr>
          <w:rFonts w:ascii="Times New Roman" w:eastAsia="Times New Roman" w:hAnsi="Times New Roman" w:cs="Times New Roman"/>
          <w:sz w:val="24"/>
          <w:szCs w:val="24"/>
        </w:rPr>
        <w:t>prihodi od tečajnih razlika su zanemarivi s obzirom na uvođenje EUR od 1.1.2023.</w:t>
      </w:r>
    </w:p>
    <w:p w14:paraId="7EEAC34B" w14:textId="2EAEDDBC" w:rsidR="00A019B8" w:rsidRPr="003A6D7B" w:rsidRDefault="00D336C8" w:rsidP="003A6D7B">
      <w:pPr>
        <w:rPr>
          <w:rFonts w:ascii="Times New Roman" w:hAnsi="Times New Roman" w:cs="Times New Roman"/>
          <w:sz w:val="24"/>
          <w:szCs w:val="24"/>
        </w:rPr>
      </w:pPr>
      <w:r w:rsidRPr="003A6D7B">
        <w:rPr>
          <w:rFonts w:ascii="Times New Roman" w:hAnsi="Times New Roman" w:cs="Times New Roman"/>
          <w:b/>
          <w:bCs/>
          <w:sz w:val="24"/>
          <w:szCs w:val="24"/>
        </w:rPr>
        <w:t>P</w:t>
      </w:r>
      <w:r w:rsidR="00A019B8" w:rsidRPr="003A6D7B">
        <w:rPr>
          <w:rFonts w:ascii="Times New Roman" w:hAnsi="Times New Roman" w:cs="Times New Roman"/>
          <w:b/>
          <w:bCs/>
          <w:sz w:val="24"/>
          <w:szCs w:val="24"/>
        </w:rPr>
        <w:t>rihod</w:t>
      </w:r>
      <w:r w:rsidRPr="003A6D7B">
        <w:rPr>
          <w:rFonts w:ascii="Times New Roman" w:hAnsi="Times New Roman" w:cs="Times New Roman"/>
          <w:b/>
          <w:bCs/>
          <w:sz w:val="24"/>
          <w:szCs w:val="24"/>
        </w:rPr>
        <w:t>i</w:t>
      </w:r>
      <w:r w:rsidR="00A019B8" w:rsidRPr="003A6D7B">
        <w:rPr>
          <w:rFonts w:ascii="Times New Roman" w:hAnsi="Times New Roman" w:cs="Times New Roman"/>
          <w:b/>
          <w:bCs/>
          <w:sz w:val="24"/>
          <w:szCs w:val="24"/>
        </w:rPr>
        <w:t xml:space="preserve"> po posebnim propisima</w:t>
      </w:r>
      <w:r w:rsidR="00A019B8" w:rsidRPr="003A6D7B">
        <w:rPr>
          <w:rFonts w:ascii="Times New Roman" w:hAnsi="Times New Roman" w:cs="Times New Roman"/>
          <w:sz w:val="24"/>
          <w:szCs w:val="24"/>
        </w:rPr>
        <w:t xml:space="preserve"> (</w:t>
      </w:r>
      <w:r w:rsidR="00984057" w:rsidRPr="003A6D7B">
        <w:rPr>
          <w:rFonts w:ascii="Times New Roman" w:hAnsi="Times New Roman" w:cs="Times New Roman"/>
          <w:sz w:val="24"/>
          <w:szCs w:val="24"/>
        </w:rPr>
        <w:t>uplate HEP</w:t>
      </w:r>
      <w:r w:rsidR="00A019B8" w:rsidRPr="003A6D7B">
        <w:rPr>
          <w:rFonts w:ascii="Times New Roman" w:hAnsi="Times New Roman" w:cs="Times New Roman"/>
          <w:sz w:val="24"/>
          <w:szCs w:val="24"/>
        </w:rPr>
        <w:t>) u 202</w:t>
      </w:r>
      <w:r w:rsidR="000A4F64" w:rsidRPr="003A6D7B">
        <w:rPr>
          <w:rFonts w:ascii="Times New Roman" w:hAnsi="Times New Roman" w:cs="Times New Roman"/>
          <w:sz w:val="24"/>
          <w:szCs w:val="24"/>
        </w:rPr>
        <w:t>3</w:t>
      </w:r>
      <w:r w:rsidR="00A019B8" w:rsidRPr="003A6D7B">
        <w:rPr>
          <w:rFonts w:ascii="Times New Roman" w:hAnsi="Times New Roman" w:cs="Times New Roman"/>
          <w:sz w:val="24"/>
          <w:szCs w:val="24"/>
        </w:rPr>
        <w:t xml:space="preserve">. godini </w:t>
      </w:r>
      <w:r w:rsidRPr="003A6D7B">
        <w:rPr>
          <w:rFonts w:ascii="Times New Roman" w:hAnsi="Times New Roman" w:cs="Times New Roman"/>
          <w:sz w:val="24"/>
          <w:szCs w:val="24"/>
        </w:rPr>
        <w:t>smanjuj</w:t>
      </w:r>
      <w:r w:rsidR="00F26EF2" w:rsidRPr="003A6D7B">
        <w:rPr>
          <w:rFonts w:ascii="Times New Roman" w:hAnsi="Times New Roman" w:cs="Times New Roman"/>
          <w:sz w:val="24"/>
          <w:szCs w:val="24"/>
        </w:rPr>
        <w:t>u</w:t>
      </w:r>
      <w:r w:rsidRPr="003A6D7B">
        <w:rPr>
          <w:rFonts w:ascii="Times New Roman" w:hAnsi="Times New Roman" w:cs="Times New Roman"/>
          <w:sz w:val="24"/>
          <w:szCs w:val="24"/>
        </w:rPr>
        <w:t xml:space="preserve"> se na </w:t>
      </w:r>
      <w:r w:rsidR="000A4F64" w:rsidRPr="003A6D7B">
        <w:rPr>
          <w:rFonts w:ascii="Times New Roman" w:hAnsi="Times New Roman" w:cs="Times New Roman"/>
          <w:sz w:val="24"/>
          <w:szCs w:val="24"/>
        </w:rPr>
        <w:t>iznos od 5,3 mil. EUR</w:t>
      </w:r>
      <w:r w:rsidR="00984057" w:rsidRPr="003A6D7B">
        <w:rPr>
          <w:rFonts w:ascii="Times New Roman" w:hAnsi="Times New Roman" w:cs="Times New Roman"/>
          <w:sz w:val="24"/>
          <w:szCs w:val="24"/>
        </w:rPr>
        <w:t xml:space="preserve"> </w:t>
      </w:r>
      <w:r w:rsidRPr="003A6D7B">
        <w:rPr>
          <w:rFonts w:ascii="Times New Roman" w:hAnsi="Times New Roman" w:cs="Times New Roman"/>
          <w:sz w:val="24"/>
          <w:szCs w:val="24"/>
        </w:rPr>
        <w:t>D</w:t>
      </w:r>
      <w:r w:rsidR="00984057" w:rsidRPr="003A6D7B">
        <w:rPr>
          <w:rFonts w:ascii="Times New Roman" w:hAnsi="Times New Roman" w:cs="Times New Roman"/>
          <w:sz w:val="24"/>
          <w:szCs w:val="24"/>
        </w:rPr>
        <w:t>etaljno obrazložen</w:t>
      </w:r>
      <w:r w:rsidRPr="003A6D7B">
        <w:rPr>
          <w:rFonts w:ascii="Times New Roman" w:hAnsi="Times New Roman" w:cs="Times New Roman"/>
          <w:sz w:val="24"/>
          <w:szCs w:val="24"/>
        </w:rPr>
        <w:t xml:space="preserve">je navodi se u </w:t>
      </w:r>
      <w:r w:rsidR="00984057" w:rsidRPr="003A6D7B">
        <w:rPr>
          <w:rFonts w:ascii="Times New Roman" w:hAnsi="Times New Roman" w:cs="Times New Roman"/>
          <w:sz w:val="24"/>
          <w:szCs w:val="24"/>
        </w:rPr>
        <w:t xml:space="preserve"> poglavlju 1</w:t>
      </w:r>
      <w:r w:rsidR="00F26EF2" w:rsidRPr="003A6D7B">
        <w:rPr>
          <w:rFonts w:ascii="Times New Roman" w:hAnsi="Times New Roman" w:cs="Times New Roman"/>
          <w:sz w:val="24"/>
          <w:szCs w:val="24"/>
        </w:rPr>
        <w:t>.</w:t>
      </w:r>
    </w:p>
    <w:p w14:paraId="21F861B4" w14:textId="496B15CD" w:rsidR="00984057" w:rsidRPr="003A6D7B" w:rsidRDefault="00984057" w:rsidP="003A6D7B">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Na rashodovnoj strani bilježimo značajan pad u odnosu na 2022. godinu: </w:t>
      </w:r>
    </w:p>
    <w:p w14:paraId="2C303F60" w14:textId="43797996" w:rsidR="00984057" w:rsidRPr="003A6D7B" w:rsidRDefault="00D336C8" w:rsidP="003A6D7B">
      <w:pPr>
        <w:pStyle w:val="ListParagraph"/>
        <w:numPr>
          <w:ilvl w:val="0"/>
          <w:numId w:val="13"/>
        </w:numPr>
        <w:spacing w:line="276" w:lineRule="auto"/>
        <w:rPr>
          <w:rFonts w:ascii="Times New Roman" w:hAnsi="Times New Roman" w:cs="Times New Roman"/>
          <w:sz w:val="24"/>
          <w:szCs w:val="24"/>
        </w:rPr>
      </w:pPr>
      <w:r w:rsidRPr="003A6D7B">
        <w:rPr>
          <w:rFonts w:ascii="Times New Roman" w:hAnsi="Times New Roman" w:cs="Times New Roman"/>
          <w:b/>
          <w:bCs/>
          <w:sz w:val="24"/>
          <w:szCs w:val="24"/>
        </w:rPr>
        <w:t>kapitalni gubici</w:t>
      </w:r>
      <w:r w:rsidRPr="003A6D7B">
        <w:rPr>
          <w:rFonts w:ascii="Times New Roman" w:hAnsi="Times New Roman" w:cs="Times New Roman"/>
          <w:sz w:val="24"/>
          <w:szCs w:val="24"/>
        </w:rPr>
        <w:t xml:space="preserve"> se očekuju u iznosu od 4,6 mil. </w:t>
      </w:r>
      <w:r w:rsidR="00905AEA" w:rsidRPr="003A6D7B">
        <w:rPr>
          <w:rFonts w:ascii="Times New Roman" w:hAnsi="Times New Roman" w:cs="Times New Roman"/>
          <w:sz w:val="24"/>
          <w:szCs w:val="24"/>
        </w:rPr>
        <w:t>i</w:t>
      </w:r>
      <w:r w:rsidRPr="003A6D7B">
        <w:rPr>
          <w:rFonts w:ascii="Times New Roman" w:hAnsi="Times New Roman" w:cs="Times New Roman"/>
          <w:sz w:val="24"/>
          <w:szCs w:val="24"/>
        </w:rPr>
        <w:t xml:space="preserve"> značajno su manji u odnosu na 2022. zbog </w:t>
      </w:r>
      <w:r w:rsidR="00905AEA" w:rsidRPr="003A6D7B">
        <w:rPr>
          <w:rFonts w:ascii="Times New Roman" w:hAnsi="Times New Roman" w:cs="Times New Roman"/>
          <w:sz w:val="24"/>
          <w:szCs w:val="24"/>
        </w:rPr>
        <w:t xml:space="preserve">očekivane </w:t>
      </w:r>
      <w:r w:rsidRPr="003A6D7B">
        <w:rPr>
          <w:rFonts w:ascii="Times New Roman" w:hAnsi="Times New Roman" w:cs="Times New Roman"/>
          <w:sz w:val="24"/>
          <w:szCs w:val="24"/>
        </w:rPr>
        <w:t xml:space="preserve">stabilizacije rasta kamatnih stopa </w:t>
      </w:r>
      <w:r w:rsidR="00905AEA" w:rsidRPr="003A6D7B">
        <w:rPr>
          <w:rFonts w:ascii="Times New Roman" w:hAnsi="Times New Roman" w:cs="Times New Roman"/>
          <w:sz w:val="24"/>
          <w:szCs w:val="24"/>
        </w:rPr>
        <w:t>tijekom 2023. što bi trebalo ograničiti daljnje gubitke na obvezničkim pozicijama</w:t>
      </w:r>
      <w:r w:rsidR="00F26EF2" w:rsidRPr="003A6D7B">
        <w:rPr>
          <w:rFonts w:ascii="Times New Roman" w:hAnsi="Times New Roman" w:cs="Times New Roman"/>
          <w:sz w:val="24"/>
          <w:szCs w:val="24"/>
        </w:rPr>
        <w:t xml:space="preserve">, </w:t>
      </w:r>
    </w:p>
    <w:p w14:paraId="4B136988" w14:textId="37ABBA82" w:rsidR="00984057" w:rsidRPr="003A6D7B" w:rsidRDefault="00905AEA" w:rsidP="003A6D7B">
      <w:pPr>
        <w:pStyle w:val="ListParagraph"/>
        <w:numPr>
          <w:ilvl w:val="0"/>
          <w:numId w:val="13"/>
        </w:numPr>
        <w:spacing w:line="276" w:lineRule="auto"/>
        <w:rPr>
          <w:rFonts w:ascii="Times New Roman" w:hAnsi="Times New Roman" w:cs="Times New Roman"/>
          <w:sz w:val="24"/>
          <w:szCs w:val="24"/>
        </w:rPr>
      </w:pPr>
      <w:r w:rsidRPr="003A6D7B">
        <w:rPr>
          <w:rFonts w:ascii="Times New Roman" w:hAnsi="Times New Roman" w:cs="Times New Roman"/>
          <w:b/>
          <w:bCs/>
          <w:sz w:val="24"/>
          <w:szCs w:val="24"/>
        </w:rPr>
        <w:t>negative tečajne razlike</w:t>
      </w:r>
      <w:r w:rsidRPr="003A6D7B">
        <w:rPr>
          <w:rFonts w:ascii="Times New Roman" w:hAnsi="Times New Roman" w:cs="Times New Roman"/>
          <w:sz w:val="24"/>
          <w:szCs w:val="24"/>
        </w:rPr>
        <w:t xml:space="preserve"> bi trebale biti nešto veće u odnosu na 2022. godinu zbog izloženosti dijela portfelja USD. </w:t>
      </w:r>
    </w:p>
    <w:p w14:paraId="0F530F48" w14:textId="0023F626" w:rsidR="00A019B8" w:rsidRPr="003A6D7B" w:rsidRDefault="00905AEA" w:rsidP="00984057">
      <w:pPr>
        <w:spacing w:line="276" w:lineRule="auto"/>
        <w:jc w:val="left"/>
        <w:rPr>
          <w:rFonts w:ascii="Times New Roman" w:hAnsi="Times New Roman" w:cs="Times New Roman"/>
          <w:sz w:val="24"/>
          <w:szCs w:val="24"/>
        </w:rPr>
      </w:pPr>
      <w:r w:rsidRPr="003A6D7B">
        <w:rPr>
          <w:rFonts w:ascii="Times New Roman" w:hAnsi="Times New Roman" w:cs="Times New Roman"/>
          <w:sz w:val="24"/>
          <w:szCs w:val="24"/>
        </w:rPr>
        <w:t>Posljedično, očekivani</w:t>
      </w:r>
      <w:r w:rsidRPr="003A6D7B">
        <w:rPr>
          <w:rFonts w:ascii="Times New Roman" w:hAnsi="Times New Roman" w:cs="Times New Roman"/>
          <w:b/>
          <w:bCs/>
          <w:sz w:val="24"/>
          <w:szCs w:val="24"/>
        </w:rPr>
        <w:t xml:space="preserve"> </w:t>
      </w:r>
      <w:r w:rsidR="00A019B8" w:rsidRPr="003A6D7B">
        <w:rPr>
          <w:rFonts w:ascii="Times New Roman" w:hAnsi="Times New Roman" w:cs="Times New Roman"/>
          <w:b/>
          <w:bCs/>
          <w:sz w:val="24"/>
          <w:szCs w:val="24"/>
        </w:rPr>
        <w:t>neto prinos Fonda</w:t>
      </w:r>
      <w:r w:rsidR="00A019B8" w:rsidRPr="003A6D7B">
        <w:rPr>
          <w:rFonts w:ascii="Times New Roman" w:hAnsi="Times New Roman" w:cs="Times New Roman"/>
          <w:sz w:val="24"/>
          <w:szCs w:val="24"/>
        </w:rPr>
        <w:t xml:space="preserve"> za 202</w:t>
      </w:r>
      <w:r w:rsidR="000A4F64" w:rsidRPr="003A6D7B">
        <w:rPr>
          <w:rFonts w:ascii="Times New Roman" w:hAnsi="Times New Roman" w:cs="Times New Roman"/>
          <w:sz w:val="24"/>
          <w:szCs w:val="24"/>
        </w:rPr>
        <w:t>3</w:t>
      </w:r>
      <w:r w:rsidR="00A019B8"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iznosi </w:t>
      </w:r>
      <w:r w:rsidR="00A019B8" w:rsidRPr="003A6D7B">
        <w:rPr>
          <w:rFonts w:ascii="Times New Roman" w:hAnsi="Times New Roman" w:cs="Times New Roman"/>
          <w:sz w:val="24"/>
          <w:szCs w:val="24"/>
        </w:rPr>
        <w:t>3,</w:t>
      </w:r>
      <w:r w:rsidR="000A4F64" w:rsidRPr="003A6D7B">
        <w:rPr>
          <w:rFonts w:ascii="Times New Roman" w:hAnsi="Times New Roman" w:cs="Times New Roman"/>
          <w:sz w:val="24"/>
          <w:szCs w:val="24"/>
        </w:rPr>
        <w:t>09</w:t>
      </w:r>
      <w:r w:rsidR="00BC323E" w:rsidRPr="003A6D7B">
        <w:rPr>
          <w:rFonts w:ascii="Times New Roman" w:hAnsi="Times New Roman" w:cs="Times New Roman"/>
          <w:sz w:val="24"/>
          <w:szCs w:val="24"/>
        </w:rPr>
        <w:t>%</w:t>
      </w:r>
      <w:r w:rsidR="00A019B8" w:rsidRPr="003A6D7B">
        <w:rPr>
          <w:rFonts w:ascii="Times New Roman" w:hAnsi="Times New Roman" w:cs="Times New Roman"/>
          <w:sz w:val="24"/>
          <w:szCs w:val="24"/>
        </w:rPr>
        <w:t>.</w:t>
      </w:r>
    </w:p>
    <w:p w14:paraId="601B4E00" w14:textId="7EA6CD18" w:rsidR="003A23D6" w:rsidRPr="003A6D7B" w:rsidRDefault="00A019B8" w:rsidP="00905AEA">
      <w:pPr>
        <w:spacing w:line="276" w:lineRule="auto"/>
        <w:rPr>
          <w:rFonts w:ascii="Times New Roman" w:hAnsi="Times New Roman" w:cs="Times New Roman"/>
          <w:sz w:val="24"/>
          <w:szCs w:val="24"/>
        </w:rPr>
      </w:pPr>
      <w:r w:rsidRPr="003A6D7B">
        <w:rPr>
          <w:rFonts w:ascii="Times New Roman" w:hAnsi="Times New Roman" w:cs="Times New Roman"/>
          <w:sz w:val="24"/>
          <w:szCs w:val="24"/>
        </w:rPr>
        <w:t>Potrebno je naglasiti da i prihodi i rashodi vezani uz ulaganja zbog volatilnosti tržišta mogu znatno odstupati od planiranih.</w:t>
      </w:r>
    </w:p>
    <w:p w14:paraId="601701E3" w14:textId="77777777" w:rsidR="00905AEA" w:rsidRPr="003A6D7B" w:rsidRDefault="00905AEA" w:rsidP="00905AEA">
      <w:pPr>
        <w:spacing w:line="276" w:lineRule="auto"/>
        <w:rPr>
          <w:rFonts w:ascii="Times New Roman" w:hAnsi="Times New Roman" w:cs="Times New Roman"/>
        </w:rPr>
      </w:pPr>
    </w:p>
    <w:p w14:paraId="128C40D0" w14:textId="689D6037" w:rsidR="003A23D6" w:rsidRPr="003A6D7B" w:rsidRDefault="003A23D6" w:rsidP="00902811">
      <w:pPr>
        <w:pStyle w:val="Heading3"/>
        <w:spacing w:line="276" w:lineRule="auto"/>
        <w:rPr>
          <w:rFonts w:ascii="Times New Roman" w:hAnsi="Times New Roman" w:cs="Times New Roman"/>
          <w:sz w:val="28"/>
          <w:szCs w:val="28"/>
        </w:rPr>
      </w:pPr>
      <w:bookmarkStart w:id="131" w:name="_Toc59178450"/>
      <w:bookmarkStart w:id="132" w:name="_Toc62050200"/>
      <w:bookmarkStart w:id="133" w:name="_Toc130809369"/>
      <w:r w:rsidRPr="003A6D7B">
        <w:rPr>
          <w:rStyle w:val="NormaljustifyChar"/>
          <w:rFonts w:ascii="Times New Roman" w:eastAsiaTheme="majorEastAsia" w:hAnsi="Times New Roman"/>
          <w:sz w:val="28"/>
          <w:szCs w:val="28"/>
          <w:lang w:val="hr-HR"/>
        </w:rPr>
        <w:t>RAO i ostali rashodi</w:t>
      </w:r>
      <w:bookmarkEnd w:id="129"/>
      <w:bookmarkEnd w:id="130"/>
      <w:bookmarkEnd w:id="131"/>
      <w:bookmarkEnd w:id="132"/>
      <w:bookmarkEnd w:id="133"/>
    </w:p>
    <w:p w14:paraId="299F2F73" w14:textId="54943C28" w:rsidR="003A23D6" w:rsidRPr="003A6D7B" w:rsidRDefault="002048B8" w:rsidP="002048B8">
      <w:pPr>
        <w:spacing w:before="120"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Tijekom 2023. godine planirane su aktivnosti vezane uz Četvrtu reviziju Programa odlaganja RAO-a i ING-a iz NEK-a i potporne studije i programe,  karakterizaciju i ostale pripreme za preuzimanje te odvoz i zbrinjavanje hrvatske polovice NSRAO iz NE Krško (1. faza), projektnu dokumentaciju za rekonstrukciju prometnice što rezultira povećanim planiranim troškovima na kategorijama Usluge, Materijal i energija te Ostali materijalni rashodi. </w:t>
      </w:r>
      <w:r w:rsidR="003A23D6" w:rsidRPr="003A6D7B">
        <w:rPr>
          <w:rFonts w:ascii="Times New Roman" w:hAnsi="Times New Roman" w:cs="Times New Roman"/>
          <w:sz w:val="24"/>
          <w:szCs w:val="24"/>
        </w:rPr>
        <w:t>U nastavku se daje računovodstveni prikaz detaljne razrade RAO i ostalih rashoda.</w:t>
      </w:r>
    </w:p>
    <w:p w14:paraId="06007EDD" w14:textId="79A2BD25" w:rsidR="00931C4C" w:rsidRPr="003A6D7B" w:rsidRDefault="00931C4C" w:rsidP="00931C4C">
      <w:pPr>
        <w:pStyle w:val="Caption"/>
        <w:keepNext/>
        <w:jc w:val="left"/>
        <w:rPr>
          <w:rFonts w:ascii="Times New Roman" w:hAnsi="Times New Roman" w:cs="Times New Roman"/>
          <w:i w:val="0"/>
          <w:iCs w:val="0"/>
          <w:sz w:val="22"/>
          <w:szCs w:val="22"/>
        </w:rPr>
      </w:pPr>
      <w:bookmarkStart w:id="134" w:name="_Toc130809260"/>
      <w:bookmarkStart w:id="135" w:name="_Hlk526156143"/>
      <w:bookmarkStart w:id="136" w:name="_Hlk57722769"/>
      <w:r w:rsidRPr="003A6D7B">
        <w:rPr>
          <w:rFonts w:ascii="Times New Roman" w:hAnsi="Times New Roman" w:cs="Times New Roman"/>
          <w:i w:val="0"/>
          <w:iCs w:val="0"/>
          <w:sz w:val="22"/>
          <w:szCs w:val="22"/>
        </w:rPr>
        <w:lastRenderedPageBreak/>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5</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RAO i ostali rashodi</w:t>
      </w:r>
      <w:bookmarkEnd w:id="134"/>
    </w:p>
    <w:p w14:paraId="539D0D34" w14:textId="659AEB0E" w:rsidR="008F5B18" w:rsidRPr="003A6D7B" w:rsidRDefault="002E14D0" w:rsidP="003A6D7B">
      <w:pPr>
        <w:spacing w:line="276" w:lineRule="auto"/>
        <w:jc w:val="center"/>
        <w:rPr>
          <w:rFonts w:ascii="Times New Roman" w:hAnsi="Times New Roman" w:cs="Times New Roman"/>
        </w:rPr>
      </w:pPr>
      <w:r w:rsidRPr="003A6D7B">
        <w:rPr>
          <w:rFonts w:ascii="Times New Roman" w:hAnsi="Times New Roman" w:cs="Times New Roman"/>
          <w:noProof/>
          <w:lang w:eastAsia="hr-HR"/>
        </w:rPr>
        <w:drawing>
          <wp:inline distT="0" distB="0" distL="0" distR="0" wp14:anchorId="7B0AA11B" wp14:editId="084D17A7">
            <wp:extent cx="6106795" cy="47148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6795" cy="4714875"/>
                    </a:xfrm>
                    <a:prstGeom prst="rect">
                      <a:avLst/>
                    </a:prstGeom>
                    <a:noFill/>
                    <a:ln>
                      <a:noFill/>
                    </a:ln>
                  </pic:spPr>
                </pic:pic>
              </a:graphicData>
            </a:graphic>
          </wp:inline>
        </w:drawing>
      </w:r>
      <w:bookmarkStart w:id="137" w:name="_Hlk57808251"/>
      <w:bookmarkStart w:id="138" w:name="_Hlk57810073"/>
      <w:bookmarkStart w:id="139" w:name="_Hlk57802074"/>
      <w:bookmarkStart w:id="140" w:name="_Toc26742738"/>
      <w:bookmarkStart w:id="141" w:name="_Toc58937062"/>
      <w:bookmarkEnd w:id="135"/>
      <w:bookmarkEnd w:id="136"/>
    </w:p>
    <w:p w14:paraId="0A182DD5" w14:textId="4F24D8C6" w:rsidR="00A019B8" w:rsidRPr="003A6D7B" w:rsidRDefault="00A019B8"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Prikaz RAO i ostalih rashoda je napravljen prema ekonomskoj klasifikaciji rashoda, sukladno odredbama Zakona o neprofitnim organizacijama.</w:t>
      </w:r>
    </w:p>
    <w:p w14:paraId="5CA2F741" w14:textId="1E2AAAC1" w:rsidR="00A019B8" w:rsidRPr="003A6D7B" w:rsidRDefault="00A019B8"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Rashodi za radnike planirani su za 202</w:t>
      </w:r>
      <w:r w:rsidR="00CF6D91" w:rsidRPr="003A6D7B">
        <w:rPr>
          <w:rFonts w:ascii="Times New Roman" w:hAnsi="Times New Roman" w:cs="Times New Roman"/>
          <w:sz w:val="24"/>
          <w:szCs w:val="24"/>
        </w:rPr>
        <w:t>3</w:t>
      </w:r>
      <w:r w:rsidRPr="003A6D7B">
        <w:rPr>
          <w:rFonts w:ascii="Times New Roman" w:hAnsi="Times New Roman" w:cs="Times New Roman"/>
          <w:sz w:val="24"/>
          <w:szCs w:val="24"/>
        </w:rPr>
        <w:t xml:space="preserve">. godinu u iznosu od </w:t>
      </w:r>
      <w:r w:rsidR="00CF6D91" w:rsidRPr="003A6D7B">
        <w:rPr>
          <w:rFonts w:ascii="Times New Roman" w:hAnsi="Times New Roman" w:cs="Times New Roman"/>
          <w:sz w:val="24"/>
          <w:szCs w:val="24"/>
        </w:rPr>
        <w:t xml:space="preserve">1,2 </w:t>
      </w:r>
      <w:r w:rsidRPr="003A6D7B">
        <w:rPr>
          <w:rFonts w:ascii="Times New Roman" w:hAnsi="Times New Roman" w:cs="Times New Roman"/>
          <w:sz w:val="24"/>
          <w:szCs w:val="24"/>
        </w:rPr>
        <w:t xml:space="preserve">mil. </w:t>
      </w:r>
      <w:r w:rsidR="00CF6D91" w:rsidRPr="003A6D7B">
        <w:rPr>
          <w:rFonts w:ascii="Times New Roman" w:hAnsi="Times New Roman" w:cs="Times New Roman"/>
          <w:sz w:val="24"/>
          <w:szCs w:val="24"/>
        </w:rPr>
        <w:t>EUR</w:t>
      </w:r>
      <w:r w:rsidRPr="003A6D7B">
        <w:rPr>
          <w:rFonts w:ascii="Times New Roman" w:hAnsi="Times New Roman" w:cs="Times New Roman"/>
          <w:sz w:val="24"/>
          <w:szCs w:val="24"/>
        </w:rPr>
        <w:t>, a odnose se na bruto plaće (</w:t>
      </w:r>
      <w:r w:rsidR="00CF6D91" w:rsidRPr="003A6D7B">
        <w:rPr>
          <w:rFonts w:ascii="Times New Roman" w:hAnsi="Times New Roman" w:cs="Times New Roman"/>
          <w:sz w:val="24"/>
          <w:szCs w:val="24"/>
        </w:rPr>
        <w:t>0</w:t>
      </w:r>
      <w:r w:rsidRPr="003A6D7B">
        <w:rPr>
          <w:rFonts w:ascii="Times New Roman" w:hAnsi="Times New Roman" w:cs="Times New Roman"/>
          <w:sz w:val="24"/>
          <w:szCs w:val="24"/>
        </w:rPr>
        <w:t>,</w:t>
      </w:r>
      <w:r w:rsidR="00CF6D91" w:rsidRPr="003A6D7B">
        <w:rPr>
          <w:rFonts w:ascii="Times New Roman" w:hAnsi="Times New Roman" w:cs="Times New Roman"/>
          <w:sz w:val="24"/>
          <w:szCs w:val="24"/>
        </w:rPr>
        <w:t>9</w:t>
      </w:r>
      <w:r w:rsidR="008712C8"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mil. </w:t>
      </w:r>
      <w:r w:rsidR="00CF6D91" w:rsidRPr="003A6D7B">
        <w:rPr>
          <w:rFonts w:ascii="Times New Roman" w:hAnsi="Times New Roman" w:cs="Times New Roman"/>
          <w:sz w:val="24"/>
          <w:szCs w:val="24"/>
        </w:rPr>
        <w:t>EUR</w:t>
      </w:r>
      <w:r w:rsidRPr="003A6D7B">
        <w:rPr>
          <w:rFonts w:ascii="Times New Roman" w:hAnsi="Times New Roman" w:cs="Times New Roman"/>
          <w:sz w:val="24"/>
          <w:szCs w:val="24"/>
        </w:rPr>
        <w:t>), doprinose na plaće (</w:t>
      </w:r>
      <w:r w:rsidR="008712C8" w:rsidRPr="003A6D7B">
        <w:rPr>
          <w:rFonts w:ascii="Times New Roman" w:hAnsi="Times New Roman" w:cs="Times New Roman"/>
          <w:sz w:val="24"/>
          <w:szCs w:val="24"/>
        </w:rPr>
        <w:t>0</w:t>
      </w:r>
      <w:r w:rsidR="00CF6D91" w:rsidRPr="003A6D7B">
        <w:rPr>
          <w:rFonts w:ascii="Times New Roman" w:hAnsi="Times New Roman" w:cs="Times New Roman"/>
          <w:sz w:val="24"/>
          <w:szCs w:val="24"/>
        </w:rPr>
        <w:t>,2</w:t>
      </w:r>
      <w:r w:rsidR="008712C8"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mil. </w:t>
      </w:r>
      <w:r w:rsidR="00CF6D91" w:rsidRPr="003A6D7B">
        <w:rPr>
          <w:rFonts w:ascii="Times New Roman" w:hAnsi="Times New Roman" w:cs="Times New Roman"/>
          <w:sz w:val="24"/>
          <w:szCs w:val="24"/>
        </w:rPr>
        <w:t>EUR</w:t>
      </w:r>
      <w:r w:rsidRPr="003A6D7B">
        <w:rPr>
          <w:rFonts w:ascii="Times New Roman" w:hAnsi="Times New Roman" w:cs="Times New Roman"/>
          <w:sz w:val="24"/>
          <w:szCs w:val="24"/>
        </w:rPr>
        <w:t>) i ostale rashode za radnike sukladno materijalnim pravima i Pravilniku Fonda (0,</w:t>
      </w:r>
      <w:r w:rsidR="00CF6D91" w:rsidRPr="003A6D7B">
        <w:rPr>
          <w:rFonts w:ascii="Times New Roman" w:hAnsi="Times New Roman" w:cs="Times New Roman"/>
          <w:sz w:val="24"/>
          <w:szCs w:val="24"/>
        </w:rPr>
        <w:t>1</w:t>
      </w:r>
      <w:r w:rsidR="008712C8"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mil. </w:t>
      </w:r>
      <w:r w:rsidR="00CF6D91" w:rsidRPr="003A6D7B">
        <w:rPr>
          <w:rFonts w:ascii="Times New Roman" w:hAnsi="Times New Roman" w:cs="Times New Roman"/>
          <w:sz w:val="24"/>
          <w:szCs w:val="24"/>
        </w:rPr>
        <w:t>EUR</w:t>
      </w:r>
      <w:r w:rsidRPr="003A6D7B">
        <w:rPr>
          <w:rFonts w:ascii="Times New Roman" w:hAnsi="Times New Roman" w:cs="Times New Roman"/>
          <w:sz w:val="24"/>
          <w:szCs w:val="24"/>
        </w:rPr>
        <w:t xml:space="preserve">). </w:t>
      </w:r>
    </w:p>
    <w:p w14:paraId="604FD040" w14:textId="68B0F762" w:rsidR="00F6573C" w:rsidRPr="003A6D7B" w:rsidRDefault="00A019B8"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Na dan 31. 12. 202</w:t>
      </w:r>
      <w:r w:rsidR="00CF6D91" w:rsidRPr="003A6D7B">
        <w:rPr>
          <w:rFonts w:ascii="Times New Roman" w:hAnsi="Times New Roman" w:cs="Times New Roman"/>
          <w:sz w:val="24"/>
          <w:szCs w:val="24"/>
        </w:rPr>
        <w:t>2</w:t>
      </w:r>
      <w:r w:rsidRPr="003A6D7B">
        <w:rPr>
          <w:rFonts w:ascii="Times New Roman" w:hAnsi="Times New Roman" w:cs="Times New Roman"/>
          <w:sz w:val="24"/>
          <w:szCs w:val="24"/>
        </w:rPr>
        <w:t>. godine u Fondu je zaposleno 2</w:t>
      </w:r>
      <w:r w:rsidR="00387934" w:rsidRPr="003A6D7B">
        <w:rPr>
          <w:rFonts w:ascii="Times New Roman" w:hAnsi="Times New Roman" w:cs="Times New Roman"/>
          <w:sz w:val="24"/>
          <w:szCs w:val="24"/>
        </w:rPr>
        <w:t>6</w:t>
      </w:r>
      <w:r w:rsidRPr="003A6D7B">
        <w:rPr>
          <w:rFonts w:ascii="Times New Roman" w:hAnsi="Times New Roman" w:cs="Times New Roman"/>
          <w:sz w:val="24"/>
          <w:szCs w:val="24"/>
        </w:rPr>
        <w:t xml:space="preserve"> radnika, a prosječan broj zaposlenih tijekom 202</w:t>
      </w:r>
      <w:r w:rsidR="00CF6D91" w:rsidRPr="003A6D7B">
        <w:rPr>
          <w:rFonts w:ascii="Times New Roman" w:hAnsi="Times New Roman" w:cs="Times New Roman"/>
          <w:sz w:val="24"/>
          <w:szCs w:val="24"/>
        </w:rPr>
        <w:t>2</w:t>
      </w:r>
      <w:r w:rsidRPr="003A6D7B">
        <w:rPr>
          <w:rFonts w:ascii="Times New Roman" w:hAnsi="Times New Roman" w:cs="Times New Roman"/>
          <w:sz w:val="24"/>
          <w:szCs w:val="24"/>
        </w:rPr>
        <w:t>. godine je 2</w:t>
      </w:r>
      <w:r w:rsidR="00387934" w:rsidRPr="003A6D7B">
        <w:rPr>
          <w:rFonts w:ascii="Times New Roman" w:hAnsi="Times New Roman" w:cs="Times New Roman"/>
          <w:sz w:val="24"/>
          <w:szCs w:val="24"/>
        </w:rPr>
        <w:t>4</w:t>
      </w:r>
      <w:r w:rsidRPr="003A6D7B">
        <w:rPr>
          <w:rFonts w:ascii="Times New Roman" w:hAnsi="Times New Roman" w:cs="Times New Roman"/>
          <w:sz w:val="24"/>
          <w:szCs w:val="24"/>
        </w:rPr>
        <w:t xml:space="preserve"> radnika.</w:t>
      </w:r>
      <w:r w:rsidR="00CA34CF" w:rsidRPr="003A6D7B">
        <w:rPr>
          <w:rFonts w:ascii="Times New Roman" w:hAnsi="Times New Roman" w:cs="Times New Roman"/>
          <w:sz w:val="24"/>
          <w:szCs w:val="24"/>
        </w:rPr>
        <w:t xml:space="preserve"> Na početku 2022. godine Fond je imao 23 radnika. </w:t>
      </w:r>
      <w:r w:rsidR="00F6573C" w:rsidRPr="003A6D7B">
        <w:rPr>
          <w:rFonts w:ascii="Times New Roman" w:hAnsi="Times New Roman" w:cs="Times New Roman"/>
          <w:sz w:val="24"/>
          <w:szCs w:val="24"/>
        </w:rPr>
        <w:t>U 2023. nije predviđeno zapošljavanje novih radnika.</w:t>
      </w:r>
    </w:p>
    <w:p w14:paraId="23F787B3" w14:textId="347F59A9" w:rsidR="00A019B8" w:rsidRPr="003A6D7B" w:rsidRDefault="00A019B8" w:rsidP="00902811">
      <w:pPr>
        <w:tabs>
          <w:tab w:val="left" w:pos="993"/>
        </w:tabs>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Vezano uz materijalne rashode potrebno je napomenuti sljedeće:</w:t>
      </w:r>
    </w:p>
    <w:p w14:paraId="533C0CC8" w14:textId="6814983E" w:rsidR="00F80B14" w:rsidRPr="003A6D7B" w:rsidRDefault="00F80B14" w:rsidP="00F80B14">
      <w:pPr>
        <w:pStyle w:val="ListParagraph"/>
        <w:spacing w:line="276" w:lineRule="auto"/>
        <w:ind w:left="1560"/>
        <w:contextualSpacing w:val="0"/>
        <w:rPr>
          <w:rFonts w:ascii="Times New Roman" w:hAnsi="Times New Roman" w:cs="Times New Roman"/>
          <w:sz w:val="24"/>
          <w:szCs w:val="24"/>
        </w:rPr>
      </w:pPr>
      <w:r w:rsidRPr="003A6D7B">
        <w:rPr>
          <w:rFonts w:ascii="Times New Roman" w:hAnsi="Times New Roman" w:cs="Times New Roman"/>
          <w:sz w:val="24"/>
          <w:szCs w:val="24"/>
        </w:rPr>
        <w:t xml:space="preserve">kategorija </w:t>
      </w:r>
      <w:r w:rsidRPr="003A6D7B">
        <w:rPr>
          <w:rFonts w:ascii="Times New Roman" w:hAnsi="Times New Roman" w:cs="Times New Roman"/>
          <w:b/>
          <w:bCs/>
          <w:sz w:val="24"/>
          <w:szCs w:val="24"/>
        </w:rPr>
        <w:t>Usluge (Fond)</w:t>
      </w:r>
      <w:r w:rsidRPr="003A6D7B">
        <w:rPr>
          <w:rFonts w:ascii="Times New Roman" w:hAnsi="Times New Roman" w:cs="Times New Roman"/>
          <w:sz w:val="24"/>
          <w:szCs w:val="24"/>
        </w:rPr>
        <w:t xml:space="preserve"> se u najvećoj mjeri odnosi </w:t>
      </w:r>
      <w:r w:rsidR="000F6675" w:rsidRPr="003A6D7B">
        <w:rPr>
          <w:rFonts w:ascii="Times New Roman" w:hAnsi="Times New Roman" w:cs="Times New Roman"/>
          <w:sz w:val="24"/>
          <w:szCs w:val="24"/>
        </w:rPr>
        <w:t>na a</w:t>
      </w:r>
      <w:r w:rsidRPr="003A6D7B">
        <w:rPr>
          <w:rFonts w:ascii="Times New Roman" w:hAnsi="Times New Roman" w:cs="Times New Roman"/>
          <w:sz w:val="24"/>
          <w:szCs w:val="24"/>
        </w:rPr>
        <w:t xml:space="preserve">ktivnosti vezane uz odnose s javnošću </w:t>
      </w:r>
      <w:r w:rsidR="000F6675" w:rsidRPr="003A6D7B">
        <w:rPr>
          <w:rFonts w:ascii="Times New Roman" w:hAnsi="Times New Roman" w:cs="Times New Roman"/>
          <w:sz w:val="24"/>
          <w:szCs w:val="24"/>
        </w:rPr>
        <w:t>kao što je angažman agencije</w:t>
      </w:r>
      <w:r w:rsidR="00F26EF2" w:rsidRPr="003A6D7B">
        <w:rPr>
          <w:rFonts w:ascii="Times New Roman" w:hAnsi="Times New Roman" w:cs="Times New Roman"/>
          <w:sz w:val="24"/>
          <w:szCs w:val="24"/>
        </w:rPr>
        <w:t xml:space="preserve"> za odnose s javnošću</w:t>
      </w:r>
      <w:r w:rsidR="000F6675" w:rsidRPr="003A6D7B">
        <w:rPr>
          <w:rFonts w:ascii="Times New Roman" w:hAnsi="Times New Roman" w:cs="Times New Roman"/>
          <w:sz w:val="24"/>
          <w:szCs w:val="24"/>
        </w:rPr>
        <w:t xml:space="preserve">, izrada agroekološke studije i druge </w:t>
      </w:r>
      <w:r w:rsidRPr="003A6D7B">
        <w:rPr>
          <w:rFonts w:ascii="Times New Roman" w:hAnsi="Times New Roman" w:cs="Times New Roman"/>
          <w:sz w:val="24"/>
          <w:szCs w:val="24"/>
        </w:rPr>
        <w:t>aktivnosti vezane uz razvoj lokalne zajednice. Navedeni troškovi su detaljno obrazloženi u poglavlju 2.</w:t>
      </w:r>
      <w:r w:rsidR="000F6675" w:rsidRPr="003A6D7B">
        <w:rPr>
          <w:rFonts w:ascii="Times New Roman" w:hAnsi="Times New Roman" w:cs="Times New Roman"/>
          <w:sz w:val="24"/>
          <w:szCs w:val="24"/>
        </w:rPr>
        <w:t>9</w:t>
      </w:r>
      <w:r w:rsidRPr="003A6D7B">
        <w:rPr>
          <w:rFonts w:ascii="Times New Roman" w:hAnsi="Times New Roman" w:cs="Times New Roman"/>
          <w:sz w:val="24"/>
          <w:szCs w:val="24"/>
        </w:rPr>
        <w:t xml:space="preserve"> Tablični prikaz planiranih troškova i investicija</w:t>
      </w:r>
      <w:r w:rsidR="000F6675" w:rsidRPr="003A6D7B">
        <w:rPr>
          <w:rFonts w:ascii="Times New Roman" w:hAnsi="Times New Roman" w:cs="Times New Roman"/>
          <w:sz w:val="24"/>
          <w:szCs w:val="24"/>
        </w:rPr>
        <w:t xml:space="preserve">. Toj </w:t>
      </w:r>
      <w:r w:rsidR="000F6675" w:rsidRPr="003A6D7B">
        <w:rPr>
          <w:rFonts w:ascii="Times New Roman" w:hAnsi="Times New Roman" w:cs="Times New Roman"/>
          <w:sz w:val="24"/>
          <w:szCs w:val="24"/>
        </w:rPr>
        <w:lastRenderedPageBreak/>
        <w:t xml:space="preserve">kategoriji također pripada i godišnja naknada za korištenje Bloomberg platforme; </w:t>
      </w:r>
    </w:p>
    <w:p w14:paraId="41C32A4D" w14:textId="0457A172" w:rsidR="00F80B14" w:rsidRPr="003A6D7B" w:rsidRDefault="00F80B14" w:rsidP="00F80B14">
      <w:pPr>
        <w:pStyle w:val="ListParagraph"/>
        <w:spacing w:line="276" w:lineRule="auto"/>
        <w:ind w:left="1560"/>
        <w:contextualSpacing w:val="0"/>
        <w:rPr>
          <w:rFonts w:ascii="Times New Roman" w:hAnsi="Times New Roman" w:cs="Times New Roman"/>
          <w:sz w:val="24"/>
          <w:szCs w:val="24"/>
        </w:rPr>
      </w:pPr>
      <w:r w:rsidRPr="003A6D7B">
        <w:rPr>
          <w:rFonts w:ascii="Times New Roman" w:hAnsi="Times New Roman" w:cs="Times New Roman"/>
          <w:sz w:val="24"/>
          <w:szCs w:val="24"/>
        </w:rPr>
        <w:t xml:space="preserve">kategorija </w:t>
      </w:r>
      <w:r w:rsidRPr="003A6D7B">
        <w:rPr>
          <w:rFonts w:ascii="Times New Roman" w:hAnsi="Times New Roman" w:cs="Times New Roman"/>
          <w:b/>
          <w:bCs/>
          <w:sz w:val="24"/>
          <w:szCs w:val="24"/>
        </w:rPr>
        <w:t>Usluge (RAO)</w:t>
      </w:r>
      <w:r w:rsidRPr="003A6D7B">
        <w:rPr>
          <w:rFonts w:ascii="Times New Roman" w:hAnsi="Times New Roman" w:cs="Times New Roman"/>
          <w:sz w:val="24"/>
          <w:szCs w:val="24"/>
        </w:rPr>
        <w:t xml:space="preserve"> pokazuje povećanje u odnosu na Plan za 2022. godinu zbog planiranih aktivnosti odvoza i zbrinjavanja hrvatske polovice NSRAO-a iz NE Krško (1. faza), hrvatski dio troškova obrade primarnih smola i razgradnje starih parogeneratora (59% planiranog iznosa), tehničkih studija i programa  za potrebe Četvrte revizije Programa odlaganja RAO-a i ING-a iz NEK-a s ARAO (14% planiranog iznosa), zaštitarsku službu na lokaciji (9% planiranog iznosa), projektnu dokumentaciju za rekonstrukciju prometnica (6% planiranog iznosa) odvjetničke usluge (5% planiranog iznosa) te drugih analiza i projekata;</w:t>
      </w:r>
    </w:p>
    <w:p w14:paraId="773A970C" w14:textId="26535178" w:rsidR="00F80B14" w:rsidRPr="003A6D7B" w:rsidRDefault="00F80B14" w:rsidP="00F80B14">
      <w:pPr>
        <w:pStyle w:val="ListParagraph"/>
        <w:spacing w:line="276" w:lineRule="auto"/>
        <w:ind w:left="1560"/>
        <w:contextualSpacing w:val="0"/>
        <w:rPr>
          <w:rFonts w:ascii="Times New Roman" w:hAnsi="Times New Roman" w:cs="Times New Roman"/>
          <w:sz w:val="24"/>
          <w:szCs w:val="24"/>
        </w:rPr>
      </w:pPr>
      <w:r w:rsidRPr="003A6D7B">
        <w:rPr>
          <w:rFonts w:ascii="Times New Roman" w:hAnsi="Times New Roman" w:cs="Times New Roman"/>
          <w:sz w:val="24"/>
          <w:szCs w:val="24"/>
        </w:rPr>
        <w:t xml:space="preserve">kategorija </w:t>
      </w:r>
      <w:r w:rsidRPr="003A6D7B">
        <w:rPr>
          <w:rFonts w:ascii="Times New Roman" w:hAnsi="Times New Roman" w:cs="Times New Roman"/>
          <w:b/>
          <w:bCs/>
          <w:sz w:val="24"/>
          <w:szCs w:val="24"/>
        </w:rPr>
        <w:t>Materijal i energija (Fond)</w:t>
      </w:r>
      <w:r w:rsidRPr="003A6D7B">
        <w:rPr>
          <w:rFonts w:ascii="Times New Roman" w:hAnsi="Times New Roman" w:cs="Times New Roman"/>
          <w:sz w:val="24"/>
          <w:szCs w:val="24"/>
        </w:rPr>
        <w:t xml:space="preserve"> kao i kategorija </w:t>
      </w:r>
      <w:r w:rsidRPr="003A6D7B">
        <w:rPr>
          <w:rFonts w:ascii="Times New Roman" w:hAnsi="Times New Roman" w:cs="Times New Roman"/>
          <w:b/>
          <w:bCs/>
          <w:sz w:val="24"/>
          <w:szCs w:val="24"/>
        </w:rPr>
        <w:t>Ostali materijalni rashodi (Fond)</w:t>
      </w:r>
      <w:r w:rsidRPr="003A6D7B">
        <w:rPr>
          <w:rFonts w:ascii="Times New Roman" w:hAnsi="Times New Roman" w:cs="Times New Roman"/>
          <w:sz w:val="24"/>
          <w:szCs w:val="24"/>
        </w:rPr>
        <w:t xml:space="preserve"> iskazuju povećanje koje je prvenstveno posljedica rasta </w:t>
      </w:r>
      <w:r w:rsidR="00A661BD" w:rsidRPr="003A6D7B">
        <w:rPr>
          <w:rFonts w:ascii="Times New Roman" w:hAnsi="Times New Roman" w:cs="Times New Roman"/>
          <w:sz w:val="24"/>
          <w:szCs w:val="24"/>
        </w:rPr>
        <w:t xml:space="preserve">cijena energenata, </w:t>
      </w:r>
      <w:r w:rsidRPr="003A6D7B">
        <w:rPr>
          <w:rFonts w:ascii="Times New Roman" w:hAnsi="Times New Roman" w:cs="Times New Roman"/>
          <w:sz w:val="24"/>
          <w:szCs w:val="24"/>
        </w:rPr>
        <w:t>poslovnih aktivnosti, dodatnog zapošljavanja u 2022</w:t>
      </w:r>
      <w:r w:rsidR="000F6675" w:rsidRPr="003A6D7B">
        <w:rPr>
          <w:rFonts w:ascii="Times New Roman" w:hAnsi="Times New Roman" w:cs="Times New Roman"/>
          <w:sz w:val="24"/>
          <w:szCs w:val="24"/>
        </w:rPr>
        <w:t>, te rasta troškova premija osiguranja</w:t>
      </w:r>
      <w:r w:rsidRPr="003A6D7B">
        <w:rPr>
          <w:rFonts w:ascii="Times New Roman" w:hAnsi="Times New Roman" w:cs="Times New Roman"/>
          <w:sz w:val="24"/>
          <w:szCs w:val="24"/>
        </w:rPr>
        <w:t>;</w:t>
      </w:r>
    </w:p>
    <w:p w14:paraId="294BD0CD" w14:textId="77777777" w:rsidR="00F80B14" w:rsidRPr="003A6D7B" w:rsidRDefault="00F80B14" w:rsidP="00F80B14">
      <w:pPr>
        <w:pStyle w:val="ListParagraph"/>
        <w:spacing w:line="276" w:lineRule="auto"/>
        <w:ind w:left="1560"/>
        <w:contextualSpacing w:val="0"/>
        <w:rPr>
          <w:rFonts w:ascii="Times New Roman" w:hAnsi="Times New Roman" w:cs="Times New Roman"/>
          <w:sz w:val="24"/>
          <w:szCs w:val="24"/>
        </w:rPr>
      </w:pPr>
      <w:r w:rsidRPr="003A6D7B">
        <w:rPr>
          <w:rFonts w:ascii="Times New Roman" w:hAnsi="Times New Roman" w:cs="Times New Roman"/>
          <w:sz w:val="24"/>
          <w:szCs w:val="24"/>
        </w:rPr>
        <w:t xml:space="preserve">kategorija </w:t>
      </w:r>
      <w:r w:rsidRPr="003A6D7B">
        <w:rPr>
          <w:rFonts w:ascii="Times New Roman" w:hAnsi="Times New Roman" w:cs="Times New Roman"/>
          <w:b/>
          <w:bCs/>
          <w:sz w:val="24"/>
          <w:szCs w:val="24"/>
        </w:rPr>
        <w:t>Ostali materijalni rashodi (RAO)</w:t>
      </w:r>
      <w:r w:rsidRPr="003A6D7B">
        <w:rPr>
          <w:rFonts w:ascii="Times New Roman" w:hAnsi="Times New Roman" w:cs="Times New Roman"/>
          <w:sz w:val="24"/>
          <w:szCs w:val="24"/>
        </w:rPr>
        <w:t xml:space="preserve"> iskazuje povećanje zbog planirane premije osiguranja za transport NSRAO iz NE Krško (1. faza);</w:t>
      </w:r>
    </w:p>
    <w:p w14:paraId="5C962096" w14:textId="39DD5946" w:rsidR="00F80B14" w:rsidRPr="003A6D7B" w:rsidRDefault="00F80B14" w:rsidP="00F80B14">
      <w:pPr>
        <w:pStyle w:val="ListParagraph"/>
        <w:spacing w:line="276" w:lineRule="auto"/>
        <w:ind w:left="1560"/>
        <w:contextualSpacing w:val="0"/>
        <w:rPr>
          <w:rFonts w:ascii="Times New Roman" w:hAnsi="Times New Roman" w:cs="Times New Roman"/>
          <w:sz w:val="24"/>
          <w:szCs w:val="24"/>
        </w:rPr>
      </w:pPr>
      <w:r w:rsidRPr="003A6D7B">
        <w:rPr>
          <w:rFonts w:ascii="Times New Roman" w:hAnsi="Times New Roman" w:cs="Times New Roman"/>
          <w:sz w:val="24"/>
          <w:szCs w:val="24"/>
        </w:rPr>
        <w:t xml:space="preserve">Kategorija </w:t>
      </w:r>
      <w:r w:rsidRPr="003A6D7B">
        <w:rPr>
          <w:rFonts w:ascii="Times New Roman" w:hAnsi="Times New Roman" w:cs="Times New Roman"/>
          <w:b/>
          <w:bCs/>
          <w:sz w:val="24"/>
          <w:szCs w:val="24"/>
        </w:rPr>
        <w:t>Ostali rashodi</w:t>
      </w:r>
      <w:r w:rsidRPr="003A6D7B">
        <w:rPr>
          <w:rFonts w:ascii="Times New Roman" w:hAnsi="Times New Roman" w:cs="Times New Roman"/>
          <w:sz w:val="24"/>
          <w:szCs w:val="24"/>
        </w:rPr>
        <w:t xml:space="preserve"> odnosi se na sredstava za naknade žalbenih postupaka vezano uz procese javne nabave;</w:t>
      </w:r>
    </w:p>
    <w:p w14:paraId="7B8A5EDD" w14:textId="77777777" w:rsidR="000F6675" w:rsidRPr="003A6D7B" w:rsidRDefault="000F6675" w:rsidP="00902811">
      <w:pPr>
        <w:spacing w:line="276" w:lineRule="auto"/>
        <w:ind w:left="851"/>
        <w:rPr>
          <w:rFonts w:ascii="Times New Roman" w:hAnsi="Times New Roman" w:cs="Times New Roman"/>
          <w:sz w:val="24"/>
          <w:szCs w:val="24"/>
        </w:rPr>
      </w:pPr>
    </w:p>
    <w:p w14:paraId="366E07B1" w14:textId="2DACD5AF" w:rsidR="003A23D6" w:rsidRPr="003A6D7B" w:rsidRDefault="00A019B8"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Kapitalne donacije (financijska podrška lokalnoj zajednici) planirane su u iznosu od </w:t>
      </w:r>
      <w:r w:rsidR="00BC323E" w:rsidRPr="003A6D7B">
        <w:rPr>
          <w:rFonts w:ascii="Times New Roman" w:hAnsi="Times New Roman" w:cs="Times New Roman"/>
          <w:sz w:val="24"/>
          <w:szCs w:val="24"/>
        </w:rPr>
        <w:t>1,1</w:t>
      </w:r>
      <w:r w:rsidRPr="003A6D7B">
        <w:rPr>
          <w:rFonts w:ascii="Times New Roman" w:hAnsi="Times New Roman" w:cs="Times New Roman"/>
          <w:sz w:val="24"/>
          <w:szCs w:val="24"/>
        </w:rPr>
        <w:t xml:space="preserve"> mil. </w:t>
      </w:r>
      <w:r w:rsidR="00BC323E" w:rsidRPr="003A6D7B">
        <w:rPr>
          <w:rFonts w:ascii="Times New Roman" w:hAnsi="Times New Roman" w:cs="Times New Roman"/>
          <w:sz w:val="24"/>
          <w:szCs w:val="24"/>
        </w:rPr>
        <w:t>EUR</w:t>
      </w:r>
      <w:r w:rsidRPr="003A6D7B">
        <w:rPr>
          <w:rFonts w:ascii="Times New Roman" w:hAnsi="Times New Roman" w:cs="Times New Roman"/>
          <w:sz w:val="24"/>
          <w:szCs w:val="24"/>
        </w:rPr>
        <w:t xml:space="preserve"> u 202</w:t>
      </w:r>
      <w:r w:rsidR="00CF6D91" w:rsidRPr="003A6D7B">
        <w:rPr>
          <w:rFonts w:ascii="Times New Roman" w:hAnsi="Times New Roman" w:cs="Times New Roman"/>
          <w:sz w:val="24"/>
          <w:szCs w:val="24"/>
        </w:rPr>
        <w:t>3</w:t>
      </w:r>
      <w:r w:rsidRPr="003A6D7B">
        <w:rPr>
          <w:rFonts w:ascii="Times New Roman" w:hAnsi="Times New Roman" w:cs="Times New Roman"/>
          <w:sz w:val="24"/>
          <w:szCs w:val="24"/>
        </w:rPr>
        <w:t>. godini.</w:t>
      </w:r>
    </w:p>
    <w:p w14:paraId="41796E71" w14:textId="31D6A843" w:rsidR="00A019B8" w:rsidRPr="003A6D7B" w:rsidRDefault="00A019B8" w:rsidP="00902811">
      <w:pPr>
        <w:spacing w:after="160" w:line="276" w:lineRule="auto"/>
        <w:jc w:val="left"/>
        <w:rPr>
          <w:rStyle w:val="NormaljustifyChar"/>
          <w:rFonts w:ascii="Times New Roman" w:eastAsiaTheme="majorEastAsia" w:hAnsi="Times New Roman"/>
          <w:color w:val="646668"/>
          <w:lang w:val="hr-HR"/>
        </w:rPr>
      </w:pPr>
      <w:bookmarkStart w:id="142" w:name="_Toc59178451"/>
      <w:bookmarkStart w:id="143" w:name="_Toc62050201"/>
      <w:bookmarkStart w:id="144" w:name="_Hlk57801937"/>
      <w:bookmarkEnd w:id="137"/>
      <w:bookmarkEnd w:id="138"/>
      <w:bookmarkEnd w:id="139"/>
      <w:bookmarkEnd w:id="140"/>
    </w:p>
    <w:p w14:paraId="3629F3C2" w14:textId="7ECE0A98" w:rsidR="003A23D6" w:rsidRPr="003A6D7B" w:rsidRDefault="003A23D6" w:rsidP="006B248C">
      <w:pPr>
        <w:pStyle w:val="Heading3"/>
        <w:rPr>
          <w:rStyle w:val="NormaljustifyChar"/>
          <w:rFonts w:ascii="Times New Roman" w:eastAsiaTheme="majorEastAsia" w:hAnsi="Times New Roman"/>
          <w:sz w:val="28"/>
          <w:szCs w:val="28"/>
          <w:lang w:val="hr-HR"/>
        </w:rPr>
      </w:pPr>
      <w:bookmarkStart w:id="145" w:name="_Toc130809370"/>
      <w:r w:rsidRPr="003A6D7B">
        <w:rPr>
          <w:rStyle w:val="NormaljustifyChar"/>
          <w:rFonts w:ascii="Times New Roman" w:eastAsiaTheme="majorEastAsia" w:hAnsi="Times New Roman"/>
          <w:sz w:val="28"/>
          <w:szCs w:val="28"/>
          <w:lang w:val="hr-HR"/>
        </w:rPr>
        <w:t>Neto rezultat</w:t>
      </w:r>
      <w:bookmarkEnd w:id="141"/>
      <w:bookmarkEnd w:id="142"/>
      <w:bookmarkEnd w:id="143"/>
      <w:bookmarkEnd w:id="145"/>
    </w:p>
    <w:p w14:paraId="027926E2" w14:textId="3D35F1A9" w:rsidR="003A23D6" w:rsidRPr="003A6D7B" w:rsidRDefault="003A23D6" w:rsidP="006B248C">
      <w:pPr>
        <w:ind w:left="851"/>
        <w:rPr>
          <w:rFonts w:ascii="Times New Roman" w:hAnsi="Times New Roman" w:cs="Times New Roman"/>
          <w:sz w:val="24"/>
          <w:szCs w:val="24"/>
        </w:rPr>
      </w:pPr>
      <w:r w:rsidRPr="003A6D7B">
        <w:rPr>
          <w:rFonts w:ascii="Times New Roman" w:hAnsi="Times New Roman" w:cs="Times New Roman"/>
          <w:sz w:val="24"/>
          <w:szCs w:val="24"/>
        </w:rPr>
        <w:t>U sljedećoj tablici se daje prikaz projiciranog neto rezultata za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godinu:</w:t>
      </w:r>
    </w:p>
    <w:p w14:paraId="09C4E407" w14:textId="7C895129" w:rsidR="00931C4C" w:rsidRPr="003A6D7B" w:rsidRDefault="00931C4C" w:rsidP="00931C4C">
      <w:pPr>
        <w:pStyle w:val="Caption"/>
        <w:keepNext/>
        <w:rPr>
          <w:rFonts w:ascii="Times New Roman" w:hAnsi="Times New Roman" w:cs="Times New Roman"/>
          <w:i w:val="0"/>
          <w:iCs w:val="0"/>
          <w:sz w:val="22"/>
          <w:szCs w:val="22"/>
        </w:rPr>
      </w:pPr>
      <w:bookmarkStart w:id="146" w:name="_Toc130809261"/>
      <w:bookmarkStart w:id="147" w:name="_Toc26742741"/>
      <w:bookmarkEnd w:id="144"/>
      <w:r w:rsidRPr="003A6D7B">
        <w:rPr>
          <w:rFonts w:ascii="Times New Roman" w:hAnsi="Times New Roman" w:cs="Times New Roman"/>
          <w:i w:val="0"/>
          <w:iCs w:val="0"/>
          <w:sz w:val="22"/>
          <w:szCs w:val="22"/>
        </w:rPr>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6</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Neto rezultat</w:t>
      </w:r>
      <w:bookmarkEnd w:id="146"/>
    </w:p>
    <w:p w14:paraId="2D1FA135" w14:textId="7367A3AA" w:rsidR="001D05C4" w:rsidRPr="003A6D7B" w:rsidRDefault="002E14D0" w:rsidP="00A019B8">
      <w:pPr>
        <w:rPr>
          <w:rFonts w:ascii="Times New Roman" w:hAnsi="Times New Roman" w:cs="Times New Roman"/>
        </w:rPr>
      </w:pPr>
      <w:r w:rsidRPr="003A6D7B">
        <w:rPr>
          <w:rFonts w:ascii="Times New Roman" w:hAnsi="Times New Roman" w:cs="Times New Roman"/>
          <w:noProof/>
          <w:lang w:eastAsia="hr-HR"/>
        </w:rPr>
        <w:drawing>
          <wp:inline distT="0" distB="0" distL="0" distR="0" wp14:anchorId="21B426E8" wp14:editId="360B729C">
            <wp:extent cx="6106795" cy="150241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6795" cy="1502410"/>
                    </a:xfrm>
                    <a:prstGeom prst="rect">
                      <a:avLst/>
                    </a:prstGeom>
                    <a:noFill/>
                    <a:ln>
                      <a:noFill/>
                    </a:ln>
                  </pic:spPr>
                </pic:pic>
              </a:graphicData>
            </a:graphic>
          </wp:inline>
        </w:drawing>
      </w:r>
    </w:p>
    <w:p w14:paraId="1258A64F" w14:textId="06E7AF6D" w:rsidR="00905AEA" w:rsidRPr="003A6D7B" w:rsidRDefault="00905AEA" w:rsidP="00464C6E">
      <w:pPr>
        <w:spacing w:line="276" w:lineRule="auto"/>
        <w:ind w:left="708"/>
        <w:rPr>
          <w:rFonts w:ascii="Times New Roman" w:hAnsi="Times New Roman" w:cs="Times New Roman"/>
          <w:sz w:val="24"/>
          <w:szCs w:val="24"/>
        </w:rPr>
      </w:pPr>
      <w:r w:rsidRPr="003A6D7B">
        <w:rPr>
          <w:rFonts w:ascii="Times New Roman" w:hAnsi="Times New Roman" w:cs="Times New Roman"/>
          <w:sz w:val="24"/>
          <w:szCs w:val="24"/>
        </w:rPr>
        <w:lastRenderedPageBreak/>
        <w:t xml:space="preserve">Zaključno, </w:t>
      </w:r>
      <w:r w:rsidR="003A23D6" w:rsidRPr="003A6D7B">
        <w:rPr>
          <w:rFonts w:ascii="Times New Roman" w:hAnsi="Times New Roman" w:cs="Times New Roman"/>
          <w:sz w:val="24"/>
          <w:szCs w:val="24"/>
        </w:rPr>
        <w:fldChar w:fldCharType="begin"/>
      </w:r>
      <w:r w:rsidR="003A23D6" w:rsidRPr="003A6D7B">
        <w:rPr>
          <w:rFonts w:ascii="Times New Roman" w:hAnsi="Times New Roman" w:cs="Times New Roman"/>
          <w:sz w:val="24"/>
          <w:szCs w:val="24"/>
        </w:rPr>
        <w:instrText xml:space="preserve"> LINK Excel.Sheet.12 "C:\\Users\\avrancic\\Desktop\\SANJA Copy of Tabele za PLAN i PROGRAM RADA 2016.xlsx" Viš.pr.!R2C1:R6C5 \a \f 4 \h  \* MERGEFORMAT </w:instrText>
      </w:r>
      <w:r w:rsidR="003A23D6" w:rsidRPr="003A6D7B">
        <w:rPr>
          <w:rFonts w:ascii="Times New Roman" w:hAnsi="Times New Roman" w:cs="Times New Roman"/>
          <w:sz w:val="24"/>
          <w:szCs w:val="24"/>
        </w:rPr>
        <w:fldChar w:fldCharType="end"/>
      </w:r>
      <w:r w:rsidRPr="003A6D7B">
        <w:rPr>
          <w:rFonts w:ascii="Times New Roman" w:hAnsi="Times New Roman" w:cs="Times New Roman"/>
          <w:sz w:val="24"/>
          <w:szCs w:val="24"/>
        </w:rPr>
        <w:t>v</w:t>
      </w:r>
      <w:r w:rsidR="00A019B8" w:rsidRPr="003A6D7B">
        <w:rPr>
          <w:rFonts w:ascii="Times New Roman" w:hAnsi="Times New Roman" w:cs="Times New Roman"/>
          <w:sz w:val="24"/>
          <w:szCs w:val="24"/>
        </w:rPr>
        <w:t xml:space="preserve">išak prihoda nad rashodima očekuje se u iznosu od </w:t>
      </w:r>
      <w:r w:rsidR="00BC323E" w:rsidRPr="003A6D7B">
        <w:rPr>
          <w:rFonts w:ascii="Times New Roman" w:hAnsi="Times New Roman" w:cs="Times New Roman"/>
          <w:sz w:val="24"/>
          <w:szCs w:val="24"/>
        </w:rPr>
        <w:t>9</w:t>
      </w:r>
      <w:r w:rsidR="00CF6D91" w:rsidRPr="003A6D7B">
        <w:rPr>
          <w:rFonts w:ascii="Times New Roman" w:hAnsi="Times New Roman" w:cs="Times New Roman"/>
          <w:sz w:val="24"/>
          <w:szCs w:val="24"/>
        </w:rPr>
        <w:t>,</w:t>
      </w:r>
      <w:r w:rsidR="000C66BD" w:rsidRPr="003A6D7B">
        <w:rPr>
          <w:rFonts w:ascii="Times New Roman" w:hAnsi="Times New Roman" w:cs="Times New Roman"/>
          <w:sz w:val="24"/>
          <w:szCs w:val="24"/>
        </w:rPr>
        <w:t>5</w:t>
      </w:r>
      <w:r w:rsidR="00A019B8" w:rsidRPr="003A6D7B">
        <w:rPr>
          <w:rFonts w:ascii="Times New Roman" w:hAnsi="Times New Roman" w:cs="Times New Roman"/>
          <w:sz w:val="24"/>
          <w:szCs w:val="24"/>
        </w:rPr>
        <w:t xml:space="preserve"> mil. </w:t>
      </w:r>
      <w:r w:rsidR="00CF6D91" w:rsidRPr="003A6D7B">
        <w:rPr>
          <w:rFonts w:ascii="Times New Roman" w:hAnsi="Times New Roman" w:cs="Times New Roman"/>
          <w:sz w:val="24"/>
          <w:szCs w:val="24"/>
        </w:rPr>
        <w:t>EUR</w:t>
      </w:r>
      <w:r w:rsidR="00A019B8"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Sukladno obrazloženjima </w:t>
      </w:r>
      <w:r w:rsidR="00F26EF2" w:rsidRPr="003A6D7B">
        <w:rPr>
          <w:rFonts w:ascii="Times New Roman" w:hAnsi="Times New Roman" w:cs="Times New Roman"/>
          <w:sz w:val="24"/>
          <w:szCs w:val="24"/>
        </w:rPr>
        <w:t>danim u poglavljima 3.2.1. i 3.2.2.</w:t>
      </w:r>
    </w:p>
    <w:p w14:paraId="284E000D" w14:textId="03385C6B" w:rsidR="00F26EF2" w:rsidRPr="003A6D7B" w:rsidRDefault="00A019B8" w:rsidP="00464C6E">
      <w:pPr>
        <w:spacing w:line="276" w:lineRule="auto"/>
        <w:ind w:left="708"/>
        <w:rPr>
          <w:rFonts w:ascii="Times New Roman" w:hAnsi="Times New Roman" w:cs="Times New Roman"/>
          <w:sz w:val="24"/>
          <w:szCs w:val="24"/>
        </w:rPr>
      </w:pPr>
      <w:r w:rsidRPr="003A6D7B">
        <w:rPr>
          <w:rFonts w:ascii="Times New Roman" w:hAnsi="Times New Roman" w:cs="Times New Roman"/>
          <w:sz w:val="24"/>
          <w:szCs w:val="24"/>
        </w:rPr>
        <w:t xml:space="preserve">Zajedno sa očekivanim stanjem vlastitih izvora na dan 31. </w:t>
      </w:r>
      <w:r w:rsidR="00225920" w:rsidRPr="003A6D7B">
        <w:rPr>
          <w:rFonts w:ascii="Times New Roman" w:hAnsi="Times New Roman" w:cs="Times New Roman"/>
          <w:sz w:val="24"/>
          <w:szCs w:val="24"/>
        </w:rPr>
        <w:t>12.</w:t>
      </w:r>
      <w:r w:rsidRPr="003A6D7B">
        <w:rPr>
          <w:rFonts w:ascii="Times New Roman" w:hAnsi="Times New Roman" w:cs="Times New Roman"/>
          <w:sz w:val="24"/>
          <w:szCs w:val="24"/>
        </w:rPr>
        <w:t xml:space="preserve"> 202</w:t>
      </w:r>
      <w:r w:rsidR="00CF6D91" w:rsidRPr="003A6D7B">
        <w:rPr>
          <w:rFonts w:ascii="Times New Roman" w:hAnsi="Times New Roman" w:cs="Times New Roman"/>
          <w:sz w:val="24"/>
          <w:szCs w:val="24"/>
        </w:rPr>
        <w:t>2</w:t>
      </w:r>
      <w:r w:rsidRPr="003A6D7B">
        <w:rPr>
          <w:rFonts w:ascii="Times New Roman" w:hAnsi="Times New Roman" w:cs="Times New Roman"/>
          <w:sz w:val="24"/>
          <w:szCs w:val="24"/>
        </w:rPr>
        <w:t xml:space="preserve">. u iznosu od </w:t>
      </w:r>
      <w:r w:rsidR="0018224D" w:rsidRPr="003A6D7B">
        <w:rPr>
          <w:rFonts w:ascii="Times New Roman" w:hAnsi="Times New Roman" w:cs="Times New Roman"/>
          <w:sz w:val="24"/>
          <w:szCs w:val="24"/>
        </w:rPr>
        <w:t>356</w:t>
      </w:r>
      <w:r w:rsidRPr="003A6D7B">
        <w:rPr>
          <w:rFonts w:ascii="Times New Roman" w:hAnsi="Times New Roman" w:cs="Times New Roman"/>
          <w:sz w:val="24"/>
          <w:szCs w:val="24"/>
        </w:rPr>
        <w:t xml:space="preserve"> mil. </w:t>
      </w:r>
      <w:r w:rsidR="0018224D" w:rsidRPr="003A6D7B">
        <w:rPr>
          <w:rFonts w:ascii="Times New Roman" w:hAnsi="Times New Roman" w:cs="Times New Roman"/>
          <w:sz w:val="24"/>
          <w:szCs w:val="24"/>
        </w:rPr>
        <w:t>EUR</w:t>
      </w:r>
      <w:r w:rsidRPr="003A6D7B">
        <w:rPr>
          <w:rFonts w:ascii="Times New Roman" w:hAnsi="Times New Roman" w:cs="Times New Roman"/>
          <w:sz w:val="24"/>
          <w:szCs w:val="24"/>
        </w:rPr>
        <w:t>, neto vrijednost imovine na kraju 202</w:t>
      </w:r>
      <w:r w:rsidR="0018224D" w:rsidRPr="003A6D7B">
        <w:rPr>
          <w:rFonts w:ascii="Times New Roman" w:hAnsi="Times New Roman" w:cs="Times New Roman"/>
          <w:sz w:val="24"/>
          <w:szCs w:val="24"/>
        </w:rPr>
        <w:t>3</w:t>
      </w:r>
      <w:r w:rsidRPr="003A6D7B">
        <w:rPr>
          <w:rFonts w:ascii="Times New Roman" w:hAnsi="Times New Roman" w:cs="Times New Roman"/>
          <w:sz w:val="24"/>
          <w:szCs w:val="24"/>
        </w:rPr>
        <w:t>. godine bi trebala</w:t>
      </w:r>
      <w:r w:rsidR="00F26EF2" w:rsidRPr="003A6D7B">
        <w:rPr>
          <w:rFonts w:ascii="Times New Roman" w:hAnsi="Times New Roman" w:cs="Times New Roman"/>
          <w:sz w:val="24"/>
          <w:szCs w:val="24"/>
        </w:rPr>
        <w:t xml:space="preserve"> bi se do kraja 2023. uvećati za 9,5 mil. EUR </w:t>
      </w:r>
      <w:r w:rsidRPr="003A6D7B">
        <w:rPr>
          <w:rFonts w:ascii="Times New Roman" w:hAnsi="Times New Roman" w:cs="Times New Roman"/>
          <w:sz w:val="24"/>
          <w:szCs w:val="24"/>
        </w:rPr>
        <w:t xml:space="preserve"> </w:t>
      </w:r>
      <w:r w:rsidR="00F26EF2" w:rsidRPr="003A6D7B">
        <w:rPr>
          <w:rFonts w:ascii="Times New Roman" w:hAnsi="Times New Roman" w:cs="Times New Roman"/>
          <w:sz w:val="24"/>
          <w:szCs w:val="24"/>
        </w:rPr>
        <w:t xml:space="preserve">i </w:t>
      </w:r>
      <w:r w:rsidRPr="003A6D7B">
        <w:rPr>
          <w:rFonts w:ascii="Times New Roman" w:hAnsi="Times New Roman" w:cs="Times New Roman"/>
          <w:sz w:val="24"/>
          <w:szCs w:val="24"/>
        </w:rPr>
        <w:t xml:space="preserve">iznositi </w:t>
      </w:r>
      <w:r w:rsidR="0018224D" w:rsidRPr="003A6D7B">
        <w:rPr>
          <w:rFonts w:ascii="Times New Roman" w:hAnsi="Times New Roman" w:cs="Times New Roman"/>
          <w:sz w:val="24"/>
          <w:szCs w:val="24"/>
        </w:rPr>
        <w:t>36</w:t>
      </w:r>
      <w:r w:rsidR="000C66BD" w:rsidRPr="003A6D7B">
        <w:rPr>
          <w:rFonts w:ascii="Times New Roman" w:hAnsi="Times New Roman" w:cs="Times New Roman"/>
          <w:sz w:val="24"/>
          <w:szCs w:val="24"/>
        </w:rPr>
        <w:t>5</w:t>
      </w:r>
      <w:r w:rsidRPr="003A6D7B">
        <w:rPr>
          <w:rFonts w:ascii="Times New Roman" w:hAnsi="Times New Roman" w:cs="Times New Roman"/>
          <w:sz w:val="24"/>
          <w:szCs w:val="24"/>
        </w:rPr>
        <w:t xml:space="preserve"> mil. </w:t>
      </w:r>
      <w:r w:rsidR="0018224D" w:rsidRPr="003A6D7B">
        <w:rPr>
          <w:rFonts w:ascii="Times New Roman" w:hAnsi="Times New Roman" w:cs="Times New Roman"/>
          <w:sz w:val="24"/>
          <w:szCs w:val="24"/>
        </w:rPr>
        <w:t>EUR</w:t>
      </w:r>
      <w:r w:rsidRPr="003A6D7B">
        <w:rPr>
          <w:rFonts w:ascii="Times New Roman" w:hAnsi="Times New Roman" w:cs="Times New Roman"/>
          <w:sz w:val="24"/>
          <w:szCs w:val="24"/>
        </w:rPr>
        <w:t xml:space="preserve">. </w:t>
      </w:r>
    </w:p>
    <w:p w14:paraId="5275EC90" w14:textId="71EE4A12" w:rsidR="003A23D6" w:rsidRPr="003A6D7B" w:rsidRDefault="003A23D6" w:rsidP="00F6573C">
      <w:pPr>
        <w:pStyle w:val="Heading3"/>
        <w:spacing w:after="120" w:line="276" w:lineRule="auto"/>
        <w:rPr>
          <w:rStyle w:val="NormaljustifyChar"/>
          <w:rFonts w:ascii="Times New Roman" w:eastAsiaTheme="majorEastAsia" w:hAnsi="Times New Roman"/>
          <w:sz w:val="28"/>
          <w:szCs w:val="28"/>
          <w:lang w:val="hr-HR"/>
        </w:rPr>
      </w:pPr>
      <w:bookmarkStart w:id="148" w:name="_Toc58937063"/>
      <w:bookmarkStart w:id="149" w:name="_Toc59178452"/>
      <w:bookmarkStart w:id="150" w:name="_Toc62050202"/>
      <w:bookmarkStart w:id="151" w:name="_Toc130809371"/>
      <w:r w:rsidRPr="003A6D7B">
        <w:rPr>
          <w:rStyle w:val="NormaljustifyChar"/>
          <w:rFonts w:ascii="Times New Roman" w:eastAsiaTheme="majorEastAsia" w:hAnsi="Times New Roman"/>
          <w:sz w:val="28"/>
          <w:szCs w:val="28"/>
          <w:lang w:val="hr-HR"/>
        </w:rPr>
        <w:t>Ulaganje u dugotrajnu materijalnu i nematerijalnu imovinu</w:t>
      </w:r>
      <w:bookmarkEnd w:id="147"/>
      <w:bookmarkEnd w:id="148"/>
      <w:bookmarkEnd w:id="149"/>
      <w:bookmarkEnd w:id="150"/>
      <w:bookmarkEnd w:id="151"/>
    </w:p>
    <w:p w14:paraId="1101425C" w14:textId="49A57C9F" w:rsidR="003A23D6" w:rsidRPr="003A6D7B" w:rsidRDefault="00E05758"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Tijekom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xml:space="preserve">. godine planiran je nastavak istražnih radova na lokaciji Čerkezovac, te izrada projektne i druge dokumentacije u svrhu dobivanja lokacijske i građevinske dozvole </w:t>
      </w:r>
      <w:r w:rsidR="00CF4779" w:rsidRPr="003A6D7B">
        <w:rPr>
          <w:rFonts w:ascii="Times New Roman" w:hAnsi="Times New Roman" w:cs="Times New Roman"/>
          <w:sz w:val="24"/>
          <w:szCs w:val="24"/>
        </w:rPr>
        <w:t>za Centar za zbrinjavanje RAO te ulaganje u IC-Dvor, što rezultira povećanjem investicija u materijalnu i nematerijalnu imovinu</w:t>
      </w:r>
      <w:r w:rsidR="00A932A1" w:rsidRPr="003A6D7B">
        <w:rPr>
          <w:rFonts w:ascii="Times New Roman" w:hAnsi="Times New Roman" w:cs="Times New Roman"/>
          <w:sz w:val="24"/>
          <w:szCs w:val="24"/>
        </w:rPr>
        <w:t xml:space="preserve"> u odnosu na očekivanu realizaciju u 2022.</w:t>
      </w:r>
      <w:r w:rsidR="00CF4779" w:rsidRPr="003A6D7B">
        <w:rPr>
          <w:rFonts w:ascii="Times New Roman" w:hAnsi="Times New Roman" w:cs="Times New Roman"/>
          <w:sz w:val="24"/>
          <w:szCs w:val="24"/>
        </w:rPr>
        <w:t xml:space="preserve">. </w:t>
      </w:r>
      <w:r w:rsidR="003A23D6" w:rsidRPr="003A6D7B">
        <w:rPr>
          <w:rFonts w:ascii="Times New Roman" w:hAnsi="Times New Roman" w:cs="Times New Roman"/>
          <w:sz w:val="24"/>
          <w:szCs w:val="24"/>
        </w:rPr>
        <w:t>U sljedećoj tablici daje se projekcija planiranih sredstava za nabavu materijalne i nematerijalne imovine u 202</w:t>
      </w:r>
      <w:r w:rsidR="00CA5062" w:rsidRPr="003A6D7B">
        <w:rPr>
          <w:rFonts w:ascii="Times New Roman" w:hAnsi="Times New Roman" w:cs="Times New Roman"/>
          <w:sz w:val="24"/>
          <w:szCs w:val="24"/>
        </w:rPr>
        <w:t>3</w:t>
      </w:r>
      <w:r w:rsidR="003A23D6" w:rsidRPr="003A6D7B">
        <w:rPr>
          <w:rFonts w:ascii="Times New Roman" w:hAnsi="Times New Roman" w:cs="Times New Roman"/>
          <w:sz w:val="24"/>
          <w:szCs w:val="24"/>
        </w:rPr>
        <w:t>. godini:</w:t>
      </w:r>
    </w:p>
    <w:p w14:paraId="0EABED7E" w14:textId="1F1E700E" w:rsidR="00931C4C" w:rsidRPr="003A6D7B" w:rsidRDefault="00931C4C" w:rsidP="00931C4C">
      <w:pPr>
        <w:pStyle w:val="Caption"/>
        <w:keepNext/>
        <w:rPr>
          <w:rFonts w:ascii="Times New Roman" w:hAnsi="Times New Roman" w:cs="Times New Roman"/>
          <w:i w:val="0"/>
          <w:iCs w:val="0"/>
          <w:sz w:val="22"/>
          <w:szCs w:val="22"/>
        </w:rPr>
      </w:pPr>
      <w:bookmarkStart w:id="152" w:name="_Toc130809262"/>
      <w:bookmarkStart w:id="153" w:name="_Toc58937064"/>
      <w:r w:rsidRPr="003A6D7B">
        <w:rPr>
          <w:rFonts w:ascii="Times New Roman" w:hAnsi="Times New Roman" w:cs="Times New Roman"/>
          <w:i w:val="0"/>
          <w:iCs w:val="0"/>
          <w:sz w:val="22"/>
          <w:szCs w:val="22"/>
        </w:rPr>
        <w:t xml:space="preserve">Tablica </w:t>
      </w:r>
      <w:r w:rsidRPr="003A6D7B">
        <w:rPr>
          <w:rFonts w:ascii="Times New Roman" w:hAnsi="Times New Roman" w:cs="Times New Roman"/>
          <w:i w:val="0"/>
          <w:iCs w:val="0"/>
          <w:sz w:val="22"/>
          <w:szCs w:val="22"/>
        </w:rPr>
        <w:fldChar w:fldCharType="begin"/>
      </w:r>
      <w:r w:rsidRPr="003A6D7B">
        <w:rPr>
          <w:rFonts w:ascii="Times New Roman" w:hAnsi="Times New Roman" w:cs="Times New Roman"/>
          <w:i w:val="0"/>
          <w:iCs w:val="0"/>
          <w:sz w:val="22"/>
          <w:szCs w:val="22"/>
        </w:rPr>
        <w:instrText xml:space="preserve"> SEQ Tablica \* ARABIC </w:instrText>
      </w:r>
      <w:r w:rsidRPr="003A6D7B">
        <w:rPr>
          <w:rFonts w:ascii="Times New Roman" w:hAnsi="Times New Roman" w:cs="Times New Roman"/>
          <w:i w:val="0"/>
          <w:iCs w:val="0"/>
          <w:sz w:val="22"/>
          <w:szCs w:val="22"/>
        </w:rPr>
        <w:fldChar w:fldCharType="separate"/>
      </w:r>
      <w:r w:rsidR="002048B8" w:rsidRPr="003A6D7B">
        <w:rPr>
          <w:rFonts w:ascii="Times New Roman" w:hAnsi="Times New Roman" w:cs="Times New Roman"/>
          <w:i w:val="0"/>
          <w:iCs w:val="0"/>
          <w:noProof/>
          <w:sz w:val="22"/>
          <w:szCs w:val="22"/>
        </w:rPr>
        <w:t>7</w:t>
      </w:r>
      <w:r w:rsidRPr="003A6D7B">
        <w:rPr>
          <w:rFonts w:ascii="Times New Roman" w:hAnsi="Times New Roman" w:cs="Times New Roman"/>
          <w:i w:val="0"/>
          <w:iCs w:val="0"/>
          <w:sz w:val="22"/>
          <w:szCs w:val="22"/>
        </w:rPr>
        <w:fldChar w:fldCharType="end"/>
      </w:r>
      <w:r w:rsidRPr="003A6D7B">
        <w:rPr>
          <w:rFonts w:ascii="Times New Roman" w:hAnsi="Times New Roman" w:cs="Times New Roman"/>
          <w:i w:val="0"/>
          <w:iCs w:val="0"/>
          <w:sz w:val="22"/>
          <w:szCs w:val="22"/>
        </w:rPr>
        <w:t xml:space="preserve"> - Ulaganje u dugotrajnu imovinu</w:t>
      </w:r>
      <w:bookmarkEnd w:id="152"/>
    </w:p>
    <w:p w14:paraId="4F0B5186" w14:textId="39E87D3C" w:rsidR="006B248C" w:rsidRPr="003A6D7B" w:rsidRDefault="001B447A" w:rsidP="00A019B8">
      <w:pPr>
        <w:rPr>
          <w:rStyle w:val="NormaljustifyChar"/>
          <w:rFonts w:ascii="Times New Roman" w:eastAsiaTheme="majorEastAsia" w:hAnsi="Times New Roman"/>
          <w:bCs/>
          <w:i/>
          <w:sz w:val="26"/>
        </w:rPr>
      </w:pPr>
      <w:r w:rsidRPr="003A6D7B">
        <w:rPr>
          <w:rStyle w:val="NormaljustifyChar"/>
          <w:rFonts w:ascii="Times New Roman" w:eastAsiaTheme="minorEastAsia" w:hAnsi="Times New Roman"/>
          <w:noProof/>
          <w:sz w:val="22"/>
          <w:szCs w:val="22"/>
          <w:lang w:val="hr-HR" w:eastAsia="hr-HR"/>
        </w:rPr>
        <w:drawing>
          <wp:inline distT="0" distB="0" distL="0" distR="0" wp14:anchorId="46FDE5C9" wp14:editId="454E9572">
            <wp:extent cx="6106795" cy="205359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795" cy="2053590"/>
                    </a:xfrm>
                    <a:prstGeom prst="rect">
                      <a:avLst/>
                    </a:prstGeom>
                    <a:noFill/>
                    <a:ln>
                      <a:noFill/>
                    </a:ln>
                  </pic:spPr>
                </pic:pic>
              </a:graphicData>
            </a:graphic>
          </wp:inline>
        </w:drawing>
      </w:r>
    </w:p>
    <w:p w14:paraId="7F5CDB6F" w14:textId="77777777" w:rsidR="00A932A1" w:rsidRPr="003A6D7B" w:rsidRDefault="00A932A1" w:rsidP="00397D9C">
      <w:pPr>
        <w:spacing w:line="276" w:lineRule="auto"/>
        <w:rPr>
          <w:rFonts w:ascii="Times New Roman" w:hAnsi="Times New Roman" w:cs="Times New Roman"/>
        </w:rPr>
      </w:pPr>
      <w:bookmarkStart w:id="154" w:name="_Toc59178453"/>
      <w:bookmarkStart w:id="155" w:name="_Toc62050203"/>
    </w:p>
    <w:p w14:paraId="781F1A05" w14:textId="6A0778A8" w:rsidR="00A75F60" w:rsidRPr="003A6D7B" w:rsidRDefault="00A75F60"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Vezano uz planiranu materijalnu i nematerijalnu imovinu potrebno je napomenuti sljedeće:</w:t>
      </w:r>
    </w:p>
    <w:p w14:paraId="0B36E08A" w14:textId="47FED9C8" w:rsidR="00F80B14" w:rsidRPr="003A6D7B" w:rsidRDefault="00F80B14" w:rsidP="00F80B14">
      <w:pPr>
        <w:pStyle w:val="ListParagraph"/>
        <w:spacing w:line="276" w:lineRule="auto"/>
        <w:ind w:left="1560"/>
        <w:rPr>
          <w:rFonts w:ascii="Times New Roman" w:hAnsi="Times New Roman" w:cs="Times New Roman"/>
          <w:sz w:val="24"/>
          <w:szCs w:val="24"/>
        </w:rPr>
      </w:pPr>
      <w:r w:rsidRPr="003A6D7B">
        <w:rPr>
          <w:rFonts w:ascii="Times New Roman" w:hAnsi="Times New Roman" w:cs="Times New Roman"/>
          <w:sz w:val="24"/>
          <w:szCs w:val="24"/>
        </w:rPr>
        <w:t xml:space="preserve">povećanje na stavci </w:t>
      </w:r>
      <w:r w:rsidRPr="003A6D7B">
        <w:rPr>
          <w:rFonts w:ascii="Times New Roman" w:hAnsi="Times New Roman" w:cs="Times New Roman"/>
          <w:b/>
          <w:bCs/>
          <w:sz w:val="24"/>
          <w:szCs w:val="24"/>
        </w:rPr>
        <w:t>Uređaji, strojevi i oprema za ostale namjene</w:t>
      </w:r>
      <w:r w:rsidRPr="003A6D7B">
        <w:rPr>
          <w:rFonts w:ascii="Times New Roman" w:hAnsi="Times New Roman" w:cs="Times New Roman"/>
          <w:sz w:val="24"/>
          <w:szCs w:val="24"/>
        </w:rPr>
        <w:t xml:space="preserve"> odnosi se najvećim dijelom na nabavu transportnih spremnika za odvoz NSRAO-a iz NE Krško (96% planiranog iznosa);</w:t>
      </w:r>
    </w:p>
    <w:p w14:paraId="5350C37B" w14:textId="77777777" w:rsidR="00F80B14" w:rsidRPr="003A6D7B" w:rsidRDefault="00F80B14" w:rsidP="00F80B14">
      <w:pPr>
        <w:pStyle w:val="ListParagraph"/>
        <w:spacing w:line="276" w:lineRule="auto"/>
        <w:ind w:left="1560"/>
        <w:rPr>
          <w:rFonts w:ascii="Times New Roman" w:hAnsi="Times New Roman" w:cs="Times New Roman"/>
          <w:sz w:val="24"/>
          <w:szCs w:val="24"/>
        </w:rPr>
      </w:pPr>
      <w:r w:rsidRPr="003A6D7B">
        <w:rPr>
          <w:rFonts w:ascii="Times New Roman" w:hAnsi="Times New Roman" w:cs="Times New Roman"/>
          <w:sz w:val="24"/>
          <w:szCs w:val="24"/>
        </w:rPr>
        <w:t xml:space="preserve">povećanje stavke </w:t>
      </w:r>
      <w:r w:rsidRPr="003A6D7B">
        <w:rPr>
          <w:rFonts w:ascii="Times New Roman" w:hAnsi="Times New Roman" w:cs="Times New Roman"/>
          <w:b/>
          <w:bCs/>
          <w:sz w:val="24"/>
          <w:szCs w:val="24"/>
        </w:rPr>
        <w:t>Projektna i ostala dokumentacija</w:t>
      </w:r>
      <w:r w:rsidRPr="003A6D7B">
        <w:rPr>
          <w:rFonts w:ascii="Times New Roman" w:hAnsi="Times New Roman" w:cs="Times New Roman"/>
          <w:sz w:val="24"/>
          <w:szCs w:val="24"/>
        </w:rPr>
        <w:t xml:space="preserve"> odnosi se na izradu projektne dokumentacije, sigurnosnih studija i studije utjecaja na okoliš za potrebe ishođenja dozvola Centra i nadzor tih poslova (71% planiranog iznosa) i drugo;</w:t>
      </w:r>
    </w:p>
    <w:p w14:paraId="627D64F5" w14:textId="57066780" w:rsidR="00397D9C" w:rsidRDefault="00F80B14" w:rsidP="003A6D7B">
      <w:pPr>
        <w:pStyle w:val="ListParagraph"/>
        <w:spacing w:line="276" w:lineRule="auto"/>
        <w:ind w:left="1560"/>
        <w:rPr>
          <w:rFonts w:ascii="Times New Roman" w:hAnsi="Times New Roman" w:cs="Times New Roman"/>
          <w:sz w:val="24"/>
          <w:szCs w:val="24"/>
        </w:rPr>
      </w:pPr>
      <w:r w:rsidRPr="003A6D7B">
        <w:rPr>
          <w:rFonts w:ascii="Times New Roman" w:hAnsi="Times New Roman" w:cs="Times New Roman"/>
          <w:sz w:val="24"/>
          <w:szCs w:val="24"/>
        </w:rPr>
        <w:t xml:space="preserve">stavke </w:t>
      </w:r>
      <w:r w:rsidRPr="003A6D7B">
        <w:rPr>
          <w:rFonts w:ascii="Times New Roman" w:hAnsi="Times New Roman" w:cs="Times New Roman"/>
          <w:b/>
          <w:bCs/>
          <w:sz w:val="24"/>
          <w:szCs w:val="24"/>
        </w:rPr>
        <w:t>Uređaji, strojevi i oprema ostale namjene</w:t>
      </w:r>
      <w:r w:rsidRPr="003A6D7B">
        <w:rPr>
          <w:rFonts w:ascii="Times New Roman" w:hAnsi="Times New Roman" w:cs="Times New Roman"/>
          <w:sz w:val="24"/>
          <w:szCs w:val="24"/>
        </w:rPr>
        <w:t xml:space="preserve"> uključuju nabavu scintilacijskog detektora za mjernu postaju na lokaciji Centra te maglene komore za potrebe Info-centra u Dvoru;</w:t>
      </w:r>
    </w:p>
    <w:p w14:paraId="2BBD7BCF" w14:textId="77777777" w:rsidR="003A6D7B" w:rsidRPr="003A6D7B" w:rsidRDefault="003A6D7B" w:rsidP="003A6D7B">
      <w:pPr>
        <w:pStyle w:val="ListParagraph"/>
        <w:numPr>
          <w:ilvl w:val="0"/>
          <w:numId w:val="0"/>
        </w:numPr>
        <w:spacing w:line="276" w:lineRule="auto"/>
        <w:ind w:left="1560"/>
        <w:rPr>
          <w:rStyle w:val="NormaljustifyChar"/>
          <w:rFonts w:ascii="Times New Roman" w:eastAsiaTheme="minorEastAsia" w:hAnsi="Times New Roman"/>
          <w:lang w:val="hr-HR"/>
        </w:rPr>
      </w:pPr>
    </w:p>
    <w:p w14:paraId="34ABB7A8" w14:textId="77777777" w:rsidR="00CD290C" w:rsidRDefault="00CD290C">
      <w:pPr>
        <w:spacing w:after="160"/>
        <w:jc w:val="left"/>
        <w:rPr>
          <w:rStyle w:val="NormaljustifyChar"/>
          <w:rFonts w:ascii="Times New Roman" w:eastAsiaTheme="majorEastAsia" w:hAnsi="Times New Roman"/>
          <w:color w:val="646668"/>
          <w:sz w:val="28"/>
          <w:szCs w:val="28"/>
          <w:lang w:val="hr-HR"/>
        </w:rPr>
      </w:pPr>
      <w:r>
        <w:rPr>
          <w:rStyle w:val="NormaljustifyChar"/>
          <w:rFonts w:ascii="Times New Roman" w:eastAsiaTheme="majorEastAsia" w:hAnsi="Times New Roman"/>
          <w:sz w:val="28"/>
          <w:szCs w:val="28"/>
          <w:lang w:val="hr-HR"/>
        </w:rPr>
        <w:br w:type="page"/>
      </w:r>
    </w:p>
    <w:p w14:paraId="494F3E69" w14:textId="36A6B648" w:rsidR="003A23D6" w:rsidRPr="003A6D7B" w:rsidRDefault="003A23D6" w:rsidP="006B248C">
      <w:pPr>
        <w:pStyle w:val="Heading3"/>
        <w:rPr>
          <w:rStyle w:val="NormaljustifyChar"/>
          <w:rFonts w:ascii="Times New Roman" w:eastAsiaTheme="majorEastAsia" w:hAnsi="Times New Roman"/>
          <w:sz w:val="28"/>
          <w:szCs w:val="28"/>
          <w:lang w:val="hr-HR"/>
        </w:rPr>
      </w:pPr>
      <w:bookmarkStart w:id="156" w:name="_Toc130809372"/>
      <w:r w:rsidRPr="003A6D7B">
        <w:rPr>
          <w:rStyle w:val="NormaljustifyChar"/>
          <w:rFonts w:ascii="Times New Roman" w:eastAsiaTheme="majorEastAsia" w:hAnsi="Times New Roman"/>
          <w:sz w:val="28"/>
          <w:szCs w:val="28"/>
          <w:lang w:val="hr-HR"/>
        </w:rPr>
        <w:lastRenderedPageBreak/>
        <w:t>Zaključak</w:t>
      </w:r>
      <w:bookmarkEnd w:id="153"/>
      <w:bookmarkEnd w:id="154"/>
      <w:bookmarkEnd w:id="155"/>
      <w:bookmarkEnd w:id="156"/>
    </w:p>
    <w:p w14:paraId="001A22BB" w14:textId="1418CADA" w:rsidR="003A23D6" w:rsidRPr="003A6D7B" w:rsidRDefault="003A23D6" w:rsidP="00902811">
      <w:pPr>
        <w:spacing w:line="276" w:lineRule="auto"/>
        <w:ind w:left="851"/>
        <w:rPr>
          <w:rFonts w:ascii="Times New Roman" w:hAnsi="Times New Roman" w:cs="Times New Roman"/>
          <w:sz w:val="24"/>
          <w:szCs w:val="24"/>
        </w:rPr>
      </w:pPr>
      <w:r w:rsidRPr="003A6D7B">
        <w:rPr>
          <w:rFonts w:ascii="Times New Roman" w:hAnsi="Times New Roman" w:cs="Times New Roman"/>
          <w:sz w:val="24"/>
          <w:szCs w:val="24"/>
        </w:rPr>
        <w:t xml:space="preserve">Temeljem prezentiranih </w:t>
      </w:r>
      <w:r w:rsidR="004C0021" w:rsidRPr="003A6D7B">
        <w:rPr>
          <w:rFonts w:ascii="Times New Roman" w:hAnsi="Times New Roman" w:cs="Times New Roman"/>
          <w:sz w:val="24"/>
          <w:szCs w:val="24"/>
        </w:rPr>
        <w:t xml:space="preserve">planiranih </w:t>
      </w:r>
      <w:r w:rsidRPr="003A6D7B">
        <w:rPr>
          <w:rFonts w:ascii="Times New Roman" w:hAnsi="Times New Roman" w:cs="Times New Roman"/>
          <w:sz w:val="24"/>
          <w:szCs w:val="24"/>
        </w:rPr>
        <w:t>poslovnih aktivnosti za 202</w:t>
      </w:r>
      <w:r w:rsidR="00CA5062" w:rsidRPr="003A6D7B">
        <w:rPr>
          <w:rFonts w:ascii="Times New Roman" w:hAnsi="Times New Roman" w:cs="Times New Roman"/>
          <w:sz w:val="24"/>
          <w:szCs w:val="24"/>
        </w:rPr>
        <w:t>3</w:t>
      </w:r>
      <w:r w:rsidRPr="003A6D7B">
        <w:rPr>
          <w:rFonts w:ascii="Times New Roman" w:hAnsi="Times New Roman" w:cs="Times New Roman"/>
          <w:sz w:val="24"/>
          <w:szCs w:val="24"/>
        </w:rPr>
        <w:t>. godinu očekujemo:</w:t>
      </w:r>
    </w:p>
    <w:p w14:paraId="6F8A2DF2" w14:textId="4940B282" w:rsidR="00A019B8" w:rsidRPr="003A6D7B" w:rsidRDefault="00A019B8" w:rsidP="00902811">
      <w:pPr>
        <w:pStyle w:val="ListParagraph"/>
        <w:spacing w:line="276" w:lineRule="auto"/>
        <w:ind w:left="1701"/>
        <w:rPr>
          <w:rFonts w:ascii="Times New Roman" w:hAnsi="Times New Roman" w:cs="Times New Roman"/>
          <w:sz w:val="24"/>
          <w:szCs w:val="24"/>
        </w:rPr>
      </w:pPr>
      <w:r w:rsidRPr="003A6D7B">
        <w:rPr>
          <w:rFonts w:ascii="Times New Roman" w:hAnsi="Times New Roman" w:cs="Times New Roman"/>
          <w:sz w:val="24"/>
          <w:szCs w:val="24"/>
        </w:rPr>
        <w:t xml:space="preserve">neto </w:t>
      </w:r>
      <w:r w:rsidR="0018224D" w:rsidRPr="003A6D7B">
        <w:rPr>
          <w:rFonts w:ascii="Times New Roman" w:hAnsi="Times New Roman" w:cs="Times New Roman"/>
          <w:sz w:val="24"/>
          <w:szCs w:val="24"/>
        </w:rPr>
        <w:t>financijski rezultat</w:t>
      </w:r>
      <w:r w:rsidRPr="003A6D7B">
        <w:rPr>
          <w:rFonts w:ascii="Times New Roman" w:hAnsi="Times New Roman" w:cs="Times New Roman"/>
          <w:sz w:val="24"/>
          <w:szCs w:val="24"/>
        </w:rPr>
        <w:t xml:space="preserve"> u iznosu od </w:t>
      </w:r>
      <w:r w:rsidR="00195E7E" w:rsidRPr="003A6D7B">
        <w:rPr>
          <w:rFonts w:ascii="Times New Roman" w:hAnsi="Times New Roman" w:cs="Times New Roman"/>
          <w:sz w:val="24"/>
          <w:szCs w:val="24"/>
        </w:rPr>
        <w:t>11</w:t>
      </w:r>
      <w:r w:rsidRPr="003A6D7B">
        <w:rPr>
          <w:rFonts w:ascii="Times New Roman" w:hAnsi="Times New Roman" w:cs="Times New Roman"/>
          <w:sz w:val="24"/>
          <w:szCs w:val="24"/>
        </w:rPr>
        <w:t>,</w:t>
      </w:r>
      <w:r w:rsidR="00195E7E" w:rsidRPr="003A6D7B">
        <w:rPr>
          <w:rFonts w:ascii="Times New Roman" w:hAnsi="Times New Roman" w:cs="Times New Roman"/>
          <w:sz w:val="24"/>
          <w:szCs w:val="24"/>
        </w:rPr>
        <w:t>2</w:t>
      </w:r>
      <w:r w:rsidRPr="003A6D7B">
        <w:rPr>
          <w:rFonts w:ascii="Times New Roman" w:hAnsi="Times New Roman" w:cs="Times New Roman"/>
          <w:sz w:val="24"/>
          <w:szCs w:val="24"/>
        </w:rPr>
        <w:t xml:space="preserve"> mil. </w:t>
      </w:r>
      <w:r w:rsidR="00195E7E" w:rsidRPr="003A6D7B">
        <w:rPr>
          <w:rFonts w:ascii="Times New Roman" w:hAnsi="Times New Roman" w:cs="Times New Roman"/>
          <w:sz w:val="24"/>
          <w:szCs w:val="24"/>
        </w:rPr>
        <w:t>EUR</w:t>
      </w:r>
      <w:r w:rsidRPr="003A6D7B">
        <w:rPr>
          <w:rFonts w:ascii="Times New Roman" w:hAnsi="Times New Roman" w:cs="Times New Roman"/>
          <w:sz w:val="24"/>
          <w:szCs w:val="24"/>
        </w:rPr>
        <w:t xml:space="preserve">, što predstavlja </w:t>
      </w:r>
      <w:r w:rsidR="00195E7E" w:rsidRPr="003A6D7B">
        <w:rPr>
          <w:rFonts w:ascii="Times New Roman" w:hAnsi="Times New Roman" w:cs="Times New Roman"/>
          <w:sz w:val="24"/>
          <w:szCs w:val="24"/>
        </w:rPr>
        <w:t xml:space="preserve">značajno povećanje u </w:t>
      </w:r>
      <w:r w:rsidRPr="003A6D7B">
        <w:rPr>
          <w:rFonts w:ascii="Times New Roman" w:hAnsi="Times New Roman" w:cs="Times New Roman"/>
          <w:sz w:val="24"/>
          <w:szCs w:val="24"/>
        </w:rPr>
        <w:t xml:space="preserve">odnosu na </w:t>
      </w:r>
      <w:r w:rsidR="00195E7E" w:rsidRPr="003A6D7B">
        <w:rPr>
          <w:rFonts w:ascii="Times New Roman" w:hAnsi="Times New Roman" w:cs="Times New Roman"/>
          <w:sz w:val="24"/>
          <w:szCs w:val="24"/>
        </w:rPr>
        <w:t xml:space="preserve">negativan rezultat iz </w:t>
      </w:r>
      <w:r w:rsidRPr="003A6D7B">
        <w:rPr>
          <w:rFonts w:ascii="Times New Roman" w:hAnsi="Times New Roman" w:cs="Times New Roman"/>
          <w:sz w:val="24"/>
          <w:szCs w:val="24"/>
        </w:rPr>
        <w:t>procjen</w:t>
      </w:r>
      <w:r w:rsidR="00195E7E" w:rsidRPr="003A6D7B">
        <w:rPr>
          <w:rFonts w:ascii="Times New Roman" w:hAnsi="Times New Roman" w:cs="Times New Roman"/>
          <w:sz w:val="24"/>
          <w:szCs w:val="24"/>
        </w:rPr>
        <w:t>e</w:t>
      </w:r>
      <w:r w:rsidRPr="003A6D7B">
        <w:rPr>
          <w:rFonts w:ascii="Times New Roman" w:hAnsi="Times New Roman" w:cs="Times New Roman"/>
          <w:sz w:val="24"/>
          <w:szCs w:val="24"/>
        </w:rPr>
        <w:t xml:space="preserve"> za 202</w:t>
      </w:r>
      <w:r w:rsidR="00195E7E" w:rsidRPr="003A6D7B">
        <w:rPr>
          <w:rFonts w:ascii="Times New Roman" w:hAnsi="Times New Roman" w:cs="Times New Roman"/>
          <w:sz w:val="24"/>
          <w:szCs w:val="24"/>
        </w:rPr>
        <w:t>2</w:t>
      </w:r>
      <w:r w:rsidRPr="003A6D7B">
        <w:rPr>
          <w:rFonts w:ascii="Times New Roman" w:hAnsi="Times New Roman" w:cs="Times New Roman"/>
          <w:sz w:val="24"/>
          <w:szCs w:val="24"/>
        </w:rPr>
        <w:t>. godinu;</w:t>
      </w:r>
    </w:p>
    <w:p w14:paraId="231195C7" w14:textId="45EC873D" w:rsidR="00A019B8" w:rsidRPr="003A6D7B" w:rsidRDefault="00A019B8" w:rsidP="00902811">
      <w:pPr>
        <w:pStyle w:val="ListParagraph"/>
        <w:spacing w:line="276" w:lineRule="auto"/>
        <w:ind w:left="1701"/>
        <w:rPr>
          <w:rFonts w:ascii="Times New Roman" w:hAnsi="Times New Roman" w:cs="Times New Roman"/>
          <w:sz w:val="24"/>
          <w:szCs w:val="24"/>
        </w:rPr>
      </w:pPr>
      <w:r w:rsidRPr="003A6D7B">
        <w:rPr>
          <w:rFonts w:ascii="Times New Roman" w:hAnsi="Times New Roman" w:cs="Times New Roman"/>
          <w:sz w:val="24"/>
          <w:szCs w:val="24"/>
        </w:rPr>
        <w:t xml:space="preserve">neto prinos Fonda u rasponu od </w:t>
      </w:r>
      <w:r w:rsidR="00195E7E" w:rsidRPr="003A6D7B">
        <w:rPr>
          <w:rFonts w:ascii="Times New Roman" w:hAnsi="Times New Roman" w:cs="Times New Roman"/>
          <w:sz w:val="24"/>
          <w:szCs w:val="24"/>
        </w:rPr>
        <w:t>2,5</w:t>
      </w:r>
      <w:r w:rsidRPr="003A6D7B">
        <w:rPr>
          <w:rFonts w:ascii="Times New Roman" w:hAnsi="Times New Roman" w:cs="Times New Roman"/>
          <w:sz w:val="24"/>
          <w:szCs w:val="24"/>
        </w:rPr>
        <w:t>-</w:t>
      </w:r>
      <w:r w:rsidR="00195E7E" w:rsidRPr="003A6D7B">
        <w:rPr>
          <w:rFonts w:ascii="Times New Roman" w:hAnsi="Times New Roman" w:cs="Times New Roman"/>
          <w:sz w:val="24"/>
          <w:szCs w:val="24"/>
        </w:rPr>
        <w:t>3,5</w:t>
      </w:r>
      <w:r w:rsidRPr="003A6D7B">
        <w:rPr>
          <w:rFonts w:ascii="Times New Roman" w:hAnsi="Times New Roman" w:cs="Times New Roman"/>
          <w:sz w:val="24"/>
          <w:szCs w:val="24"/>
        </w:rPr>
        <w:t>%, uz napomenu da prihodi i rashodi vezani uz ulaganja zbog volatilnosti tržišta mogu znatno odstupati od planiranih, pa samim time i neto prinos fonda može varirati;</w:t>
      </w:r>
    </w:p>
    <w:p w14:paraId="74ABA651" w14:textId="4F8E9199" w:rsidR="00A019B8" w:rsidRPr="003A6D7B" w:rsidRDefault="00A019B8" w:rsidP="00902811">
      <w:pPr>
        <w:pStyle w:val="ListParagraph"/>
        <w:spacing w:line="276" w:lineRule="auto"/>
        <w:ind w:left="1701"/>
        <w:rPr>
          <w:rFonts w:ascii="Times New Roman" w:hAnsi="Times New Roman" w:cs="Times New Roman"/>
          <w:sz w:val="24"/>
          <w:szCs w:val="24"/>
        </w:rPr>
      </w:pPr>
      <w:r w:rsidRPr="003A6D7B">
        <w:rPr>
          <w:rFonts w:ascii="Times New Roman" w:hAnsi="Times New Roman" w:cs="Times New Roman"/>
          <w:sz w:val="24"/>
          <w:szCs w:val="24"/>
        </w:rPr>
        <w:t>smanjenje uplata od strane HEP-a sa 1</w:t>
      </w:r>
      <w:r w:rsidR="00195E7E" w:rsidRPr="003A6D7B">
        <w:rPr>
          <w:rFonts w:ascii="Times New Roman" w:hAnsi="Times New Roman" w:cs="Times New Roman"/>
          <w:sz w:val="24"/>
          <w:szCs w:val="24"/>
        </w:rPr>
        <w:t xml:space="preserve">4,3 </w:t>
      </w:r>
      <w:r w:rsidRPr="003A6D7B">
        <w:rPr>
          <w:rFonts w:ascii="Times New Roman" w:hAnsi="Times New Roman" w:cs="Times New Roman"/>
          <w:sz w:val="24"/>
          <w:szCs w:val="24"/>
        </w:rPr>
        <w:t xml:space="preserve">mil. </w:t>
      </w:r>
      <w:r w:rsidR="00195E7E" w:rsidRPr="003A6D7B">
        <w:rPr>
          <w:rFonts w:ascii="Times New Roman" w:hAnsi="Times New Roman" w:cs="Times New Roman"/>
          <w:sz w:val="24"/>
          <w:szCs w:val="24"/>
        </w:rPr>
        <w:t>EUR</w:t>
      </w:r>
      <w:r w:rsidRPr="003A6D7B">
        <w:rPr>
          <w:rFonts w:ascii="Times New Roman" w:hAnsi="Times New Roman" w:cs="Times New Roman"/>
          <w:sz w:val="24"/>
          <w:szCs w:val="24"/>
        </w:rPr>
        <w:t xml:space="preserve"> na 5,</w:t>
      </w:r>
      <w:r w:rsidR="00195E7E" w:rsidRPr="003A6D7B">
        <w:rPr>
          <w:rFonts w:ascii="Times New Roman" w:hAnsi="Times New Roman" w:cs="Times New Roman"/>
          <w:sz w:val="24"/>
          <w:szCs w:val="24"/>
        </w:rPr>
        <w:t>3</w:t>
      </w:r>
      <w:r w:rsidRPr="003A6D7B">
        <w:rPr>
          <w:rFonts w:ascii="Times New Roman" w:hAnsi="Times New Roman" w:cs="Times New Roman"/>
          <w:sz w:val="24"/>
          <w:szCs w:val="24"/>
        </w:rPr>
        <w:t xml:space="preserve"> mil. </w:t>
      </w:r>
      <w:r w:rsidR="00195E7E" w:rsidRPr="003A6D7B">
        <w:rPr>
          <w:rFonts w:ascii="Times New Roman" w:hAnsi="Times New Roman" w:cs="Times New Roman"/>
          <w:sz w:val="24"/>
          <w:szCs w:val="24"/>
        </w:rPr>
        <w:t>EUR</w:t>
      </w:r>
      <w:r w:rsidRPr="003A6D7B">
        <w:rPr>
          <w:rFonts w:ascii="Times New Roman" w:hAnsi="Times New Roman" w:cs="Times New Roman"/>
          <w:sz w:val="24"/>
          <w:szCs w:val="24"/>
        </w:rPr>
        <w:t>;</w:t>
      </w:r>
    </w:p>
    <w:p w14:paraId="78186603" w14:textId="520CF819" w:rsidR="00A019B8" w:rsidRPr="003A6D7B" w:rsidRDefault="00A019B8" w:rsidP="00902811">
      <w:pPr>
        <w:pStyle w:val="ListParagraph"/>
        <w:spacing w:line="276" w:lineRule="auto"/>
        <w:ind w:left="1701"/>
        <w:rPr>
          <w:rFonts w:ascii="Times New Roman" w:hAnsi="Times New Roman" w:cs="Times New Roman"/>
          <w:sz w:val="24"/>
          <w:szCs w:val="24"/>
        </w:rPr>
      </w:pPr>
      <w:r w:rsidRPr="003A6D7B">
        <w:rPr>
          <w:rFonts w:ascii="Times New Roman" w:hAnsi="Times New Roman" w:cs="Times New Roman"/>
          <w:sz w:val="24"/>
          <w:szCs w:val="24"/>
        </w:rPr>
        <w:t>značajno povećanje RAO i ostalih rashoda u odnosu na planirane veličine za 202</w:t>
      </w:r>
      <w:r w:rsidR="0018224D" w:rsidRPr="003A6D7B">
        <w:rPr>
          <w:rFonts w:ascii="Times New Roman" w:hAnsi="Times New Roman" w:cs="Times New Roman"/>
          <w:sz w:val="24"/>
          <w:szCs w:val="24"/>
        </w:rPr>
        <w:t>2</w:t>
      </w:r>
      <w:r w:rsidRPr="003A6D7B">
        <w:rPr>
          <w:rFonts w:ascii="Times New Roman" w:hAnsi="Times New Roman" w:cs="Times New Roman"/>
          <w:sz w:val="24"/>
          <w:szCs w:val="24"/>
        </w:rPr>
        <w:t>. godinu;</w:t>
      </w:r>
    </w:p>
    <w:p w14:paraId="5B0E7334" w14:textId="3266FD56" w:rsidR="00A019B8" w:rsidRPr="003A6D7B" w:rsidRDefault="00A019B8" w:rsidP="00902811">
      <w:pPr>
        <w:pStyle w:val="ListParagraph"/>
        <w:spacing w:line="276" w:lineRule="auto"/>
        <w:ind w:left="1701"/>
        <w:rPr>
          <w:rFonts w:ascii="Times New Roman" w:hAnsi="Times New Roman" w:cs="Times New Roman"/>
          <w:sz w:val="24"/>
          <w:szCs w:val="24"/>
        </w:rPr>
      </w:pPr>
      <w:r w:rsidRPr="003A6D7B">
        <w:rPr>
          <w:rFonts w:ascii="Times New Roman" w:hAnsi="Times New Roman" w:cs="Times New Roman"/>
          <w:sz w:val="24"/>
          <w:szCs w:val="24"/>
        </w:rPr>
        <w:t xml:space="preserve">neto rezultat u iznosu od </w:t>
      </w:r>
      <w:r w:rsidR="00BC323E" w:rsidRPr="003A6D7B">
        <w:rPr>
          <w:rFonts w:ascii="Times New Roman" w:hAnsi="Times New Roman" w:cs="Times New Roman"/>
          <w:sz w:val="24"/>
          <w:szCs w:val="24"/>
        </w:rPr>
        <w:t>9</w:t>
      </w:r>
      <w:r w:rsidR="0018224D" w:rsidRPr="003A6D7B">
        <w:rPr>
          <w:rFonts w:ascii="Times New Roman" w:hAnsi="Times New Roman" w:cs="Times New Roman"/>
          <w:sz w:val="24"/>
          <w:szCs w:val="24"/>
        </w:rPr>
        <w:t>,</w:t>
      </w:r>
      <w:r w:rsidR="000C66BD" w:rsidRPr="003A6D7B">
        <w:rPr>
          <w:rFonts w:ascii="Times New Roman" w:hAnsi="Times New Roman" w:cs="Times New Roman"/>
          <w:sz w:val="24"/>
          <w:szCs w:val="24"/>
        </w:rPr>
        <w:t>5</w:t>
      </w:r>
      <w:r w:rsidRPr="003A6D7B">
        <w:rPr>
          <w:rFonts w:ascii="Times New Roman" w:hAnsi="Times New Roman" w:cs="Times New Roman"/>
          <w:sz w:val="24"/>
          <w:szCs w:val="24"/>
        </w:rPr>
        <w:t xml:space="preserve"> mil. </w:t>
      </w:r>
      <w:r w:rsidR="0018224D" w:rsidRPr="003A6D7B">
        <w:rPr>
          <w:rFonts w:ascii="Times New Roman" w:hAnsi="Times New Roman" w:cs="Times New Roman"/>
          <w:sz w:val="24"/>
          <w:szCs w:val="24"/>
        </w:rPr>
        <w:t>EUR</w:t>
      </w:r>
      <w:r w:rsidRPr="003A6D7B">
        <w:rPr>
          <w:rFonts w:ascii="Times New Roman" w:hAnsi="Times New Roman" w:cs="Times New Roman"/>
          <w:sz w:val="24"/>
          <w:szCs w:val="24"/>
        </w:rPr>
        <w:t xml:space="preserve">, što predstavlja </w:t>
      </w:r>
      <w:r w:rsidR="0018224D" w:rsidRPr="003A6D7B">
        <w:rPr>
          <w:rFonts w:ascii="Times New Roman" w:hAnsi="Times New Roman" w:cs="Times New Roman"/>
          <w:sz w:val="24"/>
          <w:szCs w:val="24"/>
        </w:rPr>
        <w:t xml:space="preserve">povećanje </w:t>
      </w:r>
      <w:r w:rsidRPr="003A6D7B">
        <w:rPr>
          <w:rFonts w:ascii="Times New Roman" w:hAnsi="Times New Roman" w:cs="Times New Roman"/>
          <w:sz w:val="24"/>
          <w:szCs w:val="24"/>
        </w:rPr>
        <w:t xml:space="preserve">od </w:t>
      </w:r>
      <w:r w:rsidR="00BC323E" w:rsidRPr="003A6D7B">
        <w:rPr>
          <w:rFonts w:ascii="Times New Roman" w:hAnsi="Times New Roman" w:cs="Times New Roman"/>
          <w:sz w:val="24"/>
          <w:szCs w:val="24"/>
        </w:rPr>
        <w:t>5</w:t>
      </w:r>
      <w:r w:rsidR="0018224D" w:rsidRPr="003A6D7B">
        <w:rPr>
          <w:rFonts w:ascii="Times New Roman" w:hAnsi="Times New Roman" w:cs="Times New Roman"/>
          <w:sz w:val="24"/>
          <w:szCs w:val="24"/>
        </w:rPr>
        <w:t>,</w:t>
      </w:r>
      <w:r w:rsidR="00BC323E" w:rsidRPr="003A6D7B">
        <w:rPr>
          <w:rFonts w:ascii="Times New Roman" w:hAnsi="Times New Roman" w:cs="Times New Roman"/>
          <w:sz w:val="24"/>
          <w:szCs w:val="24"/>
        </w:rPr>
        <w:t>2</w:t>
      </w:r>
      <w:r w:rsidR="0018224D" w:rsidRPr="003A6D7B">
        <w:rPr>
          <w:rFonts w:ascii="Times New Roman" w:hAnsi="Times New Roman" w:cs="Times New Roman"/>
          <w:sz w:val="24"/>
          <w:szCs w:val="24"/>
        </w:rPr>
        <w:t xml:space="preserve"> </w:t>
      </w:r>
      <w:r w:rsidRPr="003A6D7B">
        <w:rPr>
          <w:rFonts w:ascii="Times New Roman" w:hAnsi="Times New Roman" w:cs="Times New Roman"/>
          <w:sz w:val="24"/>
          <w:szCs w:val="24"/>
        </w:rPr>
        <w:t xml:space="preserve">mil. </w:t>
      </w:r>
      <w:r w:rsidR="0018224D" w:rsidRPr="003A6D7B">
        <w:rPr>
          <w:rFonts w:ascii="Times New Roman" w:hAnsi="Times New Roman" w:cs="Times New Roman"/>
          <w:sz w:val="24"/>
          <w:szCs w:val="24"/>
        </w:rPr>
        <w:t xml:space="preserve">EUR </w:t>
      </w:r>
      <w:r w:rsidRPr="003A6D7B">
        <w:rPr>
          <w:rFonts w:ascii="Times New Roman" w:hAnsi="Times New Roman" w:cs="Times New Roman"/>
          <w:sz w:val="24"/>
          <w:szCs w:val="24"/>
        </w:rPr>
        <w:t xml:space="preserve">u odnosu na </w:t>
      </w:r>
      <w:r w:rsidR="0018224D" w:rsidRPr="003A6D7B">
        <w:rPr>
          <w:rFonts w:ascii="Times New Roman" w:hAnsi="Times New Roman" w:cs="Times New Roman"/>
          <w:sz w:val="24"/>
          <w:szCs w:val="24"/>
        </w:rPr>
        <w:t xml:space="preserve">procjenu realizacije za </w:t>
      </w:r>
      <w:r w:rsidRPr="003A6D7B">
        <w:rPr>
          <w:rFonts w:ascii="Times New Roman" w:hAnsi="Times New Roman" w:cs="Times New Roman"/>
          <w:sz w:val="24"/>
          <w:szCs w:val="24"/>
        </w:rPr>
        <w:t>202</w:t>
      </w:r>
      <w:r w:rsidR="0018224D" w:rsidRPr="003A6D7B">
        <w:rPr>
          <w:rFonts w:ascii="Times New Roman" w:hAnsi="Times New Roman" w:cs="Times New Roman"/>
          <w:sz w:val="24"/>
          <w:szCs w:val="24"/>
        </w:rPr>
        <w:t>2</w:t>
      </w:r>
      <w:r w:rsidRPr="003A6D7B">
        <w:rPr>
          <w:rFonts w:ascii="Times New Roman" w:hAnsi="Times New Roman" w:cs="Times New Roman"/>
          <w:sz w:val="24"/>
          <w:szCs w:val="24"/>
        </w:rPr>
        <w:t>. godinu;</w:t>
      </w:r>
    </w:p>
    <w:p w14:paraId="690EC9B6" w14:textId="248A8063" w:rsidR="003A23D6" w:rsidRPr="003A6D7B" w:rsidRDefault="00A019B8" w:rsidP="00902811">
      <w:pPr>
        <w:pStyle w:val="ListParagraph"/>
        <w:spacing w:line="276" w:lineRule="auto"/>
        <w:ind w:left="1701"/>
        <w:rPr>
          <w:rFonts w:ascii="Times New Roman" w:hAnsi="Times New Roman" w:cs="Times New Roman"/>
          <w:sz w:val="24"/>
          <w:szCs w:val="24"/>
        </w:rPr>
      </w:pPr>
      <w:r w:rsidRPr="003A6D7B">
        <w:rPr>
          <w:rFonts w:ascii="Times New Roman" w:hAnsi="Times New Roman" w:cs="Times New Roman"/>
          <w:sz w:val="24"/>
          <w:szCs w:val="24"/>
        </w:rPr>
        <w:t>neto vrijednost imovine na dan 31. 12. 202</w:t>
      </w:r>
      <w:r w:rsidR="0018224D" w:rsidRPr="003A6D7B">
        <w:rPr>
          <w:rFonts w:ascii="Times New Roman" w:hAnsi="Times New Roman" w:cs="Times New Roman"/>
          <w:sz w:val="24"/>
          <w:szCs w:val="24"/>
        </w:rPr>
        <w:t>3</w:t>
      </w:r>
      <w:r w:rsidRPr="003A6D7B">
        <w:rPr>
          <w:rFonts w:ascii="Times New Roman" w:hAnsi="Times New Roman" w:cs="Times New Roman"/>
          <w:sz w:val="24"/>
          <w:szCs w:val="24"/>
        </w:rPr>
        <w:t xml:space="preserve">. u iznosu od </w:t>
      </w:r>
      <w:r w:rsidR="0018224D" w:rsidRPr="003A6D7B">
        <w:rPr>
          <w:rFonts w:ascii="Times New Roman" w:hAnsi="Times New Roman" w:cs="Times New Roman"/>
          <w:sz w:val="24"/>
          <w:szCs w:val="24"/>
        </w:rPr>
        <w:t>36</w:t>
      </w:r>
      <w:r w:rsidR="000C66BD" w:rsidRPr="003A6D7B">
        <w:rPr>
          <w:rFonts w:ascii="Times New Roman" w:hAnsi="Times New Roman" w:cs="Times New Roman"/>
          <w:sz w:val="24"/>
          <w:szCs w:val="24"/>
        </w:rPr>
        <w:t>5</w:t>
      </w:r>
      <w:r w:rsidRPr="003A6D7B">
        <w:rPr>
          <w:rFonts w:ascii="Times New Roman" w:hAnsi="Times New Roman" w:cs="Times New Roman"/>
          <w:sz w:val="24"/>
          <w:szCs w:val="24"/>
        </w:rPr>
        <w:t xml:space="preserve"> mil. </w:t>
      </w:r>
      <w:r w:rsidR="0018224D" w:rsidRPr="003A6D7B">
        <w:rPr>
          <w:rFonts w:ascii="Times New Roman" w:hAnsi="Times New Roman" w:cs="Times New Roman"/>
          <w:sz w:val="24"/>
          <w:szCs w:val="24"/>
        </w:rPr>
        <w:t>EUR</w:t>
      </w:r>
      <w:r w:rsidR="003A23D6" w:rsidRPr="003A6D7B">
        <w:rPr>
          <w:rFonts w:ascii="Times New Roman" w:hAnsi="Times New Roman" w:cs="Times New Roman"/>
          <w:sz w:val="24"/>
          <w:szCs w:val="24"/>
        </w:rPr>
        <w:t>.</w:t>
      </w:r>
    </w:p>
    <w:p w14:paraId="32D1FD5B" w14:textId="77777777" w:rsidR="00931C4C" w:rsidRPr="003A6D7B" w:rsidRDefault="00931C4C">
      <w:pPr>
        <w:spacing w:after="160"/>
        <w:jc w:val="left"/>
        <w:rPr>
          <w:rFonts w:ascii="Times New Roman" w:hAnsi="Times New Roman" w:cs="Times New Roman"/>
        </w:rPr>
      </w:pPr>
      <w:r w:rsidRPr="003A6D7B">
        <w:rPr>
          <w:rFonts w:ascii="Times New Roman" w:hAnsi="Times New Roman" w:cs="Times New Roman"/>
        </w:rPr>
        <w:br w:type="page"/>
      </w:r>
    </w:p>
    <w:p w14:paraId="593A1FEE" w14:textId="250A15A3" w:rsidR="00CD7B5C" w:rsidRPr="003A6D7B" w:rsidRDefault="00CD7B5C" w:rsidP="00AF4F25">
      <w:pPr>
        <w:pStyle w:val="Heading1"/>
      </w:pPr>
      <w:bookmarkStart w:id="157" w:name="_Toc130809373"/>
      <w:r w:rsidRPr="003A6D7B">
        <w:lastRenderedPageBreak/>
        <w:t>Dodatak I – Financijski plan po kontima (pomoćna tablica)</w:t>
      </w:r>
      <w:bookmarkEnd w:id="157"/>
    </w:p>
    <w:p w14:paraId="0EECE7C2" w14:textId="269C704F" w:rsidR="00CD7B5C" w:rsidRPr="003A6D7B" w:rsidRDefault="002E14D0">
      <w:pPr>
        <w:spacing w:after="160"/>
        <w:jc w:val="left"/>
        <w:rPr>
          <w:rFonts w:ascii="Times New Roman" w:hAnsi="Times New Roman" w:cs="Times New Roman"/>
        </w:rPr>
      </w:pPr>
      <w:r w:rsidRPr="003A6D7B">
        <w:rPr>
          <w:rFonts w:ascii="Times New Roman" w:hAnsi="Times New Roman" w:cs="Times New Roman"/>
          <w:noProof/>
          <w:lang w:eastAsia="hr-HR"/>
        </w:rPr>
        <w:drawing>
          <wp:inline distT="0" distB="0" distL="0" distR="0" wp14:anchorId="17F63AA3" wp14:editId="74418F9B">
            <wp:extent cx="5676618" cy="7524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8170" cy="7526807"/>
                    </a:xfrm>
                    <a:prstGeom prst="rect">
                      <a:avLst/>
                    </a:prstGeom>
                    <a:noFill/>
                    <a:ln>
                      <a:noFill/>
                    </a:ln>
                  </pic:spPr>
                </pic:pic>
              </a:graphicData>
            </a:graphic>
          </wp:inline>
        </w:drawing>
      </w:r>
      <w:r w:rsidR="00CD7B5C" w:rsidRPr="003A6D7B">
        <w:rPr>
          <w:rFonts w:ascii="Times New Roman" w:hAnsi="Times New Roman" w:cs="Times New Roman"/>
        </w:rPr>
        <w:br w:type="page"/>
      </w:r>
    </w:p>
    <w:p w14:paraId="29656845" w14:textId="4A792841" w:rsidR="00931C4C" w:rsidRPr="003A6D7B" w:rsidRDefault="005A0125" w:rsidP="00AF4F25">
      <w:pPr>
        <w:pStyle w:val="Heading1"/>
      </w:pPr>
      <w:bookmarkStart w:id="158" w:name="_Toc130809374"/>
      <w:r w:rsidRPr="003A6D7B">
        <w:lastRenderedPageBreak/>
        <w:t xml:space="preserve">Dodatak </w:t>
      </w:r>
      <w:r w:rsidR="00CD7B5C" w:rsidRPr="003A6D7B">
        <w:t>I</w:t>
      </w:r>
      <w:r w:rsidRPr="003A6D7B">
        <w:t xml:space="preserve">I - </w:t>
      </w:r>
      <w:r w:rsidR="00931C4C" w:rsidRPr="003A6D7B">
        <w:t>Popis kratica</w:t>
      </w:r>
      <w:bookmarkEnd w:id="158"/>
    </w:p>
    <w:tbl>
      <w:tblPr>
        <w:tblW w:w="9639" w:type="dxa"/>
        <w:tblBorders>
          <w:top w:val="single" w:sz="4" w:space="0" w:color="auto"/>
          <w:bottom w:val="single" w:sz="4" w:space="0" w:color="auto"/>
          <w:insideH w:val="single" w:sz="4" w:space="0" w:color="auto"/>
        </w:tblBorders>
        <w:tblLook w:val="04A0" w:firstRow="1" w:lastRow="0" w:firstColumn="1" w:lastColumn="0" w:noHBand="0" w:noVBand="1"/>
      </w:tblPr>
      <w:tblGrid>
        <w:gridCol w:w="2800"/>
        <w:gridCol w:w="6839"/>
      </w:tblGrid>
      <w:tr w:rsidR="005A0125" w:rsidRPr="003A6D7B" w14:paraId="56F7AF63" w14:textId="77777777" w:rsidTr="00B60D1E">
        <w:trPr>
          <w:trHeight w:val="300"/>
        </w:trPr>
        <w:tc>
          <w:tcPr>
            <w:tcW w:w="2800" w:type="dxa"/>
            <w:tcBorders>
              <w:top w:val="single" w:sz="4" w:space="0" w:color="auto"/>
              <w:left w:val="nil"/>
              <w:bottom w:val="single" w:sz="4" w:space="0" w:color="auto"/>
              <w:right w:val="nil"/>
            </w:tcBorders>
            <w:noWrap/>
            <w:hideMark/>
          </w:tcPr>
          <w:p w14:paraId="22B8BDC2"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ARAO</w:t>
            </w:r>
          </w:p>
        </w:tc>
        <w:tc>
          <w:tcPr>
            <w:tcW w:w="6839" w:type="dxa"/>
            <w:tcBorders>
              <w:top w:val="single" w:sz="4" w:space="0" w:color="auto"/>
              <w:left w:val="nil"/>
              <w:bottom w:val="single" w:sz="4" w:space="0" w:color="auto"/>
              <w:right w:val="nil"/>
            </w:tcBorders>
            <w:hideMark/>
          </w:tcPr>
          <w:p w14:paraId="24547420"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Agencija za radioaktivne odpadke</w:t>
            </w:r>
          </w:p>
        </w:tc>
      </w:tr>
      <w:tr w:rsidR="005A0125" w:rsidRPr="003A6D7B" w14:paraId="43C11C70" w14:textId="77777777" w:rsidTr="00B60D1E">
        <w:trPr>
          <w:trHeight w:val="600"/>
        </w:trPr>
        <w:tc>
          <w:tcPr>
            <w:tcW w:w="2800" w:type="dxa"/>
            <w:tcBorders>
              <w:top w:val="single" w:sz="4" w:space="0" w:color="auto"/>
              <w:left w:val="nil"/>
              <w:bottom w:val="single" w:sz="4" w:space="0" w:color="auto"/>
              <w:right w:val="nil"/>
            </w:tcBorders>
            <w:noWrap/>
            <w:hideMark/>
          </w:tcPr>
          <w:p w14:paraId="771058E8"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ARTEMIS</w:t>
            </w:r>
          </w:p>
        </w:tc>
        <w:tc>
          <w:tcPr>
            <w:tcW w:w="6839" w:type="dxa"/>
            <w:tcBorders>
              <w:top w:val="single" w:sz="4" w:space="0" w:color="auto"/>
              <w:left w:val="nil"/>
              <w:bottom w:val="single" w:sz="4" w:space="0" w:color="auto"/>
              <w:right w:val="nil"/>
            </w:tcBorders>
            <w:hideMark/>
          </w:tcPr>
          <w:p w14:paraId="492FA45B"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Integrated review service for radioactive waste and spent fuel management, decommissioning and remediation programmes </w:t>
            </w:r>
          </w:p>
        </w:tc>
      </w:tr>
      <w:tr w:rsidR="005A0125" w:rsidRPr="003A6D7B" w14:paraId="7FDC95DC" w14:textId="77777777" w:rsidTr="00B60D1E">
        <w:trPr>
          <w:trHeight w:val="300"/>
        </w:trPr>
        <w:tc>
          <w:tcPr>
            <w:tcW w:w="2800" w:type="dxa"/>
            <w:tcBorders>
              <w:top w:val="single" w:sz="4" w:space="0" w:color="auto"/>
              <w:left w:val="nil"/>
              <w:bottom w:val="single" w:sz="4" w:space="0" w:color="auto"/>
              <w:right w:val="nil"/>
            </w:tcBorders>
            <w:noWrap/>
          </w:tcPr>
          <w:p w14:paraId="48F1FAE8" w14:textId="48C13D96"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BDP</w:t>
            </w:r>
          </w:p>
        </w:tc>
        <w:tc>
          <w:tcPr>
            <w:tcW w:w="6839" w:type="dxa"/>
            <w:tcBorders>
              <w:top w:val="single" w:sz="4" w:space="0" w:color="auto"/>
              <w:left w:val="nil"/>
              <w:bottom w:val="single" w:sz="4" w:space="0" w:color="auto"/>
              <w:right w:val="nil"/>
            </w:tcBorders>
            <w:noWrap/>
          </w:tcPr>
          <w:p w14:paraId="06337A04" w14:textId="4CBD2CFD"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Bruto </w:t>
            </w:r>
            <w:r w:rsidR="0069235D" w:rsidRPr="003A6D7B">
              <w:rPr>
                <w:rFonts w:ascii="Times New Roman" w:hAnsi="Times New Roman" w:cs="Times New Roman"/>
                <w:sz w:val="24"/>
                <w:szCs w:val="24"/>
              </w:rPr>
              <w:t>d</w:t>
            </w:r>
            <w:r w:rsidRPr="003A6D7B">
              <w:rPr>
                <w:rFonts w:ascii="Times New Roman" w:hAnsi="Times New Roman" w:cs="Times New Roman"/>
                <w:sz w:val="24"/>
                <w:szCs w:val="24"/>
              </w:rPr>
              <w:t xml:space="preserve">ruštveni </w:t>
            </w:r>
            <w:r w:rsidR="0069235D" w:rsidRPr="003A6D7B">
              <w:rPr>
                <w:rFonts w:ascii="Times New Roman" w:hAnsi="Times New Roman" w:cs="Times New Roman"/>
                <w:sz w:val="24"/>
                <w:szCs w:val="24"/>
              </w:rPr>
              <w:t>p</w:t>
            </w:r>
            <w:r w:rsidRPr="003A6D7B">
              <w:rPr>
                <w:rFonts w:ascii="Times New Roman" w:hAnsi="Times New Roman" w:cs="Times New Roman"/>
                <w:sz w:val="24"/>
                <w:szCs w:val="24"/>
              </w:rPr>
              <w:t>roizvod</w:t>
            </w:r>
          </w:p>
        </w:tc>
      </w:tr>
      <w:tr w:rsidR="005A0125" w:rsidRPr="003A6D7B" w14:paraId="44D49ECA" w14:textId="77777777" w:rsidTr="00B60D1E">
        <w:trPr>
          <w:trHeight w:val="855"/>
        </w:trPr>
        <w:tc>
          <w:tcPr>
            <w:tcW w:w="2800" w:type="dxa"/>
            <w:tcBorders>
              <w:top w:val="single" w:sz="4" w:space="0" w:color="auto"/>
              <w:left w:val="nil"/>
              <w:bottom w:val="single" w:sz="4" w:space="0" w:color="auto"/>
              <w:right w:val="nil"/>
            </w:tcBorders>
            <w:noWrap/>
            <w:hideMark/>
          </w:tcPr>
          <w:p w14:paraId="3B41334D"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Centar</w:t>
            </w:r>
          </w:p>
        </w:tc>
        <w:tc>
          <w:tcPr>
            <w:tcW w:w="6839" w:type="dxa"/>
            <w:tcBorders>
              <w:top w:val="single" w:sz="4" w:space="0" w:color="auto"/>
              <w:left w:val="nil"/>
              <w:bottom w:val="single" w:sz="4" w:space="0" w:color="auto"/>
              <w:right w:val="nil"/>
            </w:tcBorders>
            <w:hideMark/>
          </w:tcPr>
          <w:p w14:paraId="4F59D887"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Centar za zbrinjavanje radioaktivnog otpada u skladu sa Strategijom zbrinjavanja radioaktivnog otpada, iskorištenih izvora i istrošenoga nuklearnog goriva (Centar za zbrinjavanje RAO)</w:t>
            </w:r>
          </w:p>
        </w:tc>
      </w:tr>
      <w:tr w:rsidR="005A0125" w:rsidRPr="003A6D7B" w14:paraId="06E96C7B" w14:textId="77777777" w:rsidTr="00B60D1E">
        <w:trPr>
          <w:trHeight w:val="300"/>
        </w:trPr>
        <w:tc>
          <w:tcPr>
            <w:tcW w:w="2800" w:type="dxa"/>
            <w:tcBorders>
              <w:top w:val="single" w:sz="4" w:space="0" w:color="auto"/>
              <w:left w:val="nil"/>
              <w:bottom w:val="single" w:sz="4" w:space="0" w:color="auto"/>
              <w:right w:val="nil"/>
            </w:tcBorders>
            <w:noWrap/>
            <w:hideMark/>
          </w:tcPr>
          <w:p w14:paraId="2BDC8CDE"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CFP</w:t>
            </w:r>
          </w:p>
        </w:tc>
        <w:tc>
          <w:tcPr>
            <w:tcW w:w="6839" w:type="dxa"/>
            <w:tcBorders>
              <w:top w:val="single" w:sz="4" w:space="0" w:color="auto"/>
              <w:left w:val="nil"/>
              <w:bottom w:val="single" w:sz="4" w:space="0" w:color="auto"/>
              <w:right w:val="nil"/>
            </w:tcBorders>
            <w:noWrap/>
            <w:hideMark/>
          </w:tcPr>
          <w:p w14:paraId="4714E030"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Certified Financial Planner</w:t>
            </w:r>
          </w:p>
        </w:tc>
      </w:tr>
      <w:tr w:rsidR="005A0125" w:rsidRPr="003A6D7B" w14:paraId="40A55287" w14:textId="77777777" w:rsidTr="00B60D1E">
        <w:trPr>
          <w:trHeight w:val="300"/>
        </w:trPr>
        <w:tc>
          <w:tcPr>
            <w:tcW w:w="2800" w:type="dxa"/>
            <w:tcBorders>
              <w:top w:val="single" w:sz="4" w:space="0" w:color="auto"/>
              <w:left w:val="nil"/>
              <w:bottom w:val="single" w:sz="4" w:space="0" w:color="auto"/>
              <w:right w:val="nil"/>
            </w:tcBorders>
            <w:noWrap/>
            <w:hideMark/>
          </w:tcPr>
          <w:p w14:paraId="2B4B7C35"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DBD</w:t>
            </w:r>
          </w:p>
        </w:tc>
        <w:tc>
          <w:tcPr>
            <w:tcW w:w="6839" w:type="dxa"/>
            <w:tcBorders>
              <w:top w:val="single" w:sz="4" w:space="0" w:color="auto"/>
              <w:left w:val="nil"/>
              <w:bottom w:val="single" w:sz="4" w:space="0" w:color="auto"/>
              <w:right w:val="nil"/>
            </w:tcBorders>
            <w:noWrap/>
            <w:hideMark/>
          </w:tcPr>
          <w:p w14:paraId="09E8BCF2"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Deep Borehole Disposal Project</w:t>
            </w:r>
          </w:p>
        </w:tc>
      </w:tr>
      <w:tr w:rsidR="005A0125" w:rsidRPr="003A6D7B" w14:paraId="140B7C37" w14:textId="77777777" w:rsidTr="00B60D1E">
        <w:trPr>
          <w:trHeight w:val="300"/>
        </w:trPr>
        <w:tc>
          <w:tcPr>
            <w:tcW w:w="2800" w:type="dxa"/>
            <w:tcBorders>
              <w:top w:val="single" w:sz="4" w:space="0" w:color="auto"/>
              <w:left w:val="nil"/>
              <w:bottom w:val="single" w:sz="4" w:space="0" w:color="auto"/>
              <w:right w:val="nil"/>
            </w:tcBorders>
            <w:noWrap/>
            <w:hideMark/>
          </w:tcPr>
          <w:p w14:paraId="1EC77FE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DPPR</w:t>
            </w:r>
          </w:p>
        </w:tc>
        <w:tc>
          <w:tcPr>
            <w:tcW w:w="6839" w:type="dxa"/>
            <w:tcBorders>
              <w:top w:val="single" w:sz="4" w:space="0" w:color="auto"/>
              <w:left w:val="nil"/>
              <w:bottom w:val="single" w:sz="4" w:space="0" w:color="auto"/>
              <w:right w:val="nil"/>
            </w:tcBorders>
            <w:noWrap/>
            <w:hideMark/>
          </w:tcPr>
          <w:p w14:paraId="668193AF"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Državni plan prostornog razvoja</w:t>
            </w:r>
          </w:p>
        </w:tc>
      </w:tr>
      <w:tr w:rsidR="005A0125" w:rsidRPr="003A6D7B" w14:paraId="0F6C204F" w14:textId="77777777" w:rsidTr="00B60D1E">
        <w:trPr>
          <w:trHeight w:val="300"/>
        </w:trPr>
        <w:tc>
          <w:tcPr>
            <w:tcW w:w="2800" w:type="dxa"/>
            <w:tcBorders>
              <w:top w:val="single" w:sz="4" w:space="0" w:color="auto"/>
              <w:left w:val="nil"/>
              <w:bottom w:val="single" w:sz="4" w:space="0" w:color="auto"/>
              <w:right w:val="nil"/>
            </w:tcBorders>
            <w:noWrap/>
            <w:hideMark/>
          </w:tcPr>
          <w:p w14:paraId="2D481618" w14:textId="36412DCB"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ERDO</w:t>
            </w:r>
          </w:p>
        </w:tc>
        <w:tc>
          <w:tcPr>
            <w:tcW w:w="6839" w:type="dxa"/>
            <w:tcBorders>
              <w:top w:val="single" w:sz="4" w:space="0" w:color="auto"/>
              <w:left w:val="nil"/>
              <w:bottom w:val="single" w:sz="4" w:space="0" w:color="auto"/>
              <w:right w:val="nil"/>
            </w:tcBorders>
            <w:noWrap/>
            <w:hideMark/>
          </w:tcPr>
          <w:p w14:paraId="418466E4"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European Repository Development Organisation</w:t>
            </w:r>
          </w:p>
        </w:tc>
      </w:tr>
      <w:tr w:rsidR="005A0125" w:rsidRPr="003A6D7B" w14:paraId="0F591F95" w14:textId="77777777" w:rsidTr="00B60D1E">
        <w:trPr>
          <w:trHeight w:val="300"/>
        </w:trPr>
        <w:tc>
          <w:tcPr>
            <w:tcW w:w="2800" w:type="dxa"/>
            <w:tcBorders>
              <w:top w:val="single" w:sz="4" w:space="0" w:color="auto"/>
              <w:left w:val="nil"/>
              <w:bottom w:val="single" w:sz="4" w:space="0" w:color="auto"/>
              <w:right w:val="nil"/>
            </w:tcBorders>
            <w:noWrap/>
            <w:hideMark/>
          </w:tcPr>
          <w:p w14:paraId="7AE7A1F8" w14:textId="0E8AD42A"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ETF</w:t>
            </w:r>
          </w:p>
        </w:tc>
        <w:tc>
          <w:tcPr>
            <w:tcW w:w="6839" w:type="dxa"/>
            <w:tcBorders>
              <w:top w:val="single" w:sz="4" w:space="0" w:color="auto"/>
              <w:left w:val="nil"/>
              <w:bottom w:val="single" w:sz="4" w:space="0" w:color="auto"/>
              <w:right w:val="nil"/>
            </w:tcBorders>
            <w:noWrap/>
            <w:hideMark/>
          </w:tcPr>
          <w:p w14:paraId="233DA7BF" w14:textId="6B521386"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Exchange Traded Fund</w:t>
            </w:r>
          </w:p>
        </w:tc>
      </w:tr>
      <w:tr w:rsidR="005A0125" w:rsidRPr="003A6D7B" w14:paraId="1F8F2CFA" w14:textId="77777777" w:rsidTr="00B60D1E">
        <w:trPr>
          <w:trHeight w:val="300"/>
        </w:trPr>
        <w:tc>
          <w:tcPr>
            <w:tcW w:w="2800" w:type="dxa"/>
            <w:tcBorders>
              <w:top w:val="single" w:sz="4" w:space="0" w:color="auto"/>
              <w:left w:val="nil"/>
              <w:bottom w:val="single" w:sz="4" w:space="0" w:color="auto"/>
              <w:right w:val="nil"/>
            </w:tcBorders>
            <w:noWrap/>
            <w:hideMark/>
          </w:tcPr>
          <w:p w14:paraId="3EFFDA23"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EUR</w:t>
            </w:r>
          </w:p>
        </w:tc>
        <w:tc>
          <w:tcPr>
            <w:tcW w:w="6839" w:type="dxa"/>
            <w:tcBorders>
              <w:top w:val="single" w:sz="4" w:space="0" w:color="auto"/>
              <w:left w:val="nil"/>
              <w:bottom w:val="single" w:sz="4" w:space="0" w:color="auto"/>
              <w:right w:val="nil"/>
            </w:tcBorders>
            <w:noWrap/>
            <w:hideMark/>
          </w:tcPr>
          <w:p w14:paraId="78604049"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Euro</w:t>
            </w:r>
          </w:p>
        </w:tc>
      </w:tr>
      <w:tr w:rsidR="005A0125" w:rsidRPr="003A6D7B" w14:paraId="7423670E" w14:textId="77777777" w:rsidTr="00B60D1E">
        <w:trPr>
          <w:trHeight w:val="300"/>
        </w:trPr>
        <w:tc>
          <w:tcPr>
            <w:tcW w:w="2800" w:type="dxa"/>
            <w:tcBorders>
              <w:top w:val="single" w:sz="4" w:space="0" w:color="auto"/>
              <w:left w:val="nil"/>
              <w:bottom w:val="single" w:sz="4" w:space="0" w:color="auto"/>
              <w:right w:val="nil"/>
            </w:tcBorders>
            <w:noWrap/>
            <w:hideMark/>
          </w:tcPr>
          <w:p w14:paraId="1C4B7677" w14:textId="0457C47D"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EUR/HRK</w:t>
            </w:r>
          </w:p>
        </w:tc>
        <w:tc>
          <w:tcPr>
            <w:tcW w:w="6839" w:type="dxa"/>
            <w:tcBorders>
              <w:top w:val="single" w:sz="4" w:space="0" w:color="auto"/>
              <w:left w:val="nil"/>
              <w:bottom w:val="single" w:sz="4" w:space="0" w:color="auto"/>
              <w:right w:val="nil"/>
            </w:tcBorders>
            <w:noWrap/>
            <w:hideMark/>
          </w:tcPr>
          <w:p w14:paraId="160C624A" w14:textId="273ED330"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Tečaj EUR u odnosu na HRK</w:t>
            </w:r>
          </w:p>
        </w:tc>
      </w:tr>
      <w:tr w:rsidR="005A0125" w:rsidRPr="003A6D7B" w14:paraId="3FDB1870" w14:textId="77777777" w:rsidTr="00B60D1E">
        <w:trPr>
          <w:trHeight w:val="900"/>
        </w:trPr>
        <w:tc>
          <w:tcPr>
            <w:tcW w:w="2800" w:type="dxa"/>
            <w:tcBorders>
              <w:top w:val="single" w:sz="4" w:space="0" w:color="auto"/>
              <w:left w:val="nil"/>
              <w:bottom w:val="single" w:sz="4" w:space="0" w:color="auto"/>
              <w:right w:val="nil"/>
            </w:tcBorders>
            <w:noWrap/>
            <w:hideMark/>
          </w:tcPr>
          <w:p w14:paraId="0D356A7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Fond</w:t>
            </w:r>
          </w:p>
        </w:tc>
        <w:tc>
          <w:tcPr>
            <w:tcW w:w="6839" w:type="dxa"/>
            <w:tcBorders>
              <w:top w:val="single" w:sz="4" w:space="0" w:color="auto"/>
              <w:left w:val="nil"/>
              <w:bottom w:val="single" w:sz="4" w:space="0" w:color="auto"/>
              <w:right w:val="nil"/>
            </w:tcBorders>
            <w:hideMark/>
          </w:tcPr>
          <w:p w14:paraId="55412952"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Fond za financiranje razgradnje i zbrinjavanja radioaktivnog otpada i istrošenoga nuklearnog goriva Nuklearne elektrane Krško (kraće: Fond za financiranje razgradnje NEK)</w:t>
            </w:r>
          </w:p>
        </w:tc>
      </w:tr>
      <w:tr w:rsidR="005A0125" w:rsidRPr="003A6D7B" w14:paraId="14CB4988" w14:textId="77777777" w:rsidTr="00B60D1E">
        <w:trPr>
          <w:trHeight w:val="600"/>
        </w:trPr>
        <w:tc>
          <w:tcPr>
            <w:tcW w:w="2800" w:type="dxa"/>
            <w:tcBorders>
              <w:top w:val="single" w:sz="4" w:space="0" w:color="auto"/>
              <w:left w:val="nil"/>
              <w:bottom w:val="single" w:sz="4" w:space="0" w:color="auto"/>
              <w:right w:val="nil"/>
            </w:tcBorders>
            <w:noWrap/>
            <w:hideMark/>
          </w:tcPr>
          <w:p w14:paraId="53455EDF"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Grupa 1</w:t>
            </w:r>
          </w:p>
        </w:tc>
        <w:tc>
          <w:tcPr>
            <w:tcW w:w="6839" w:type="dxa"/>
            <w:tcBorders>
              <w:top w:val="single" w:sz="4" w:space="0" w:color="auto"/>
              <w:left w:val="nil"/>
              <w:bottom w:val="single" w:sz="4" w:space="0" w:color="auto"/>
              <w:right w:val="nil"/>
            </w:tcBorders>
            <w:hideMark/>
          </w:tcPr>
          <w:p w14:paraId="27557737"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Usluga provedbe istražnih radova na planiranoj lokaciji Centra za zbrinjavanje radioaktivnog otpada na području Čerkezovca</w:t>
            </w:r>
          </w:p>
        </w:tc>
      </w:tr>
      <w:tr w:rsidR="005A0125" w:rsidRPr="003A6D7B" w14:paraId="18F91090" w14:textId="77777777" w:rsidTr="00B60D1E">
        <w:trPr>
          <w:trHeight w:val="863"/>
        </w:trPr>
        <w:tc>
          <w:tcPr>
            <w:tcW w:w="2800" w:type="dxa"/>
            <w:tcBorders>
              <w:top w:val="single" w:sz="4" w:space="0" w:color="auto"/>
              <w:left w:val="nil"/>
              <w:bottom w:val="single" w:sz="4" w:space="0" w:color="auto"/>
              <w:right w:val="nil"/>
            </w:tcBorders>
            <w:noWrap/>
            <w:hideMark/>
          </w:tcPr>
          <w:p w14:paraId="55D0A3FF"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Grupa 2</w:t>
            </w:r>
          </w:p>
        </w:tc>
        <w:tc>
          <w:tcPr>
            <w:tcW w:w="6839" w:type="dxa"/>
            <w:tcBorders>
              <w:top w:val="single" w:sz="4" w:space="0" w:color="auto"/>
              <w:left w:val="nil"/>
              <w:bottom w:val="single" w:sz="4" w:space="0" w:color="auto"/>
              <w:right w:val="nil"/>
            </w:tcBorders>
            <w:hideMark/>
          </w:tcPr>
          <w:p w14:paraId="4030535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Usluga mjerenja radioaktivnosti za definiranje nultog (postojećeg) stanja na lokaciji Centra za zbrinjavanje radioaktivnog otpada i na području općine Dvor s procjenom doze za pojedinca</w:t>
            </w:r>
          </w:p>
        </w:tc>
      </w:tr>
      <w:tr w:rsidR="005A0125" w:rsidRPr="003A6D7B" w14:paraId="2805AB9A" w14:textId="77777777" w:rsidTr="00B60D1E">
        <w:trPr>
          <w:trHeight w:val="900"/>
        </w:trPr>
        <w:tc>
          <w:tcPr>
            <w:tcW w:w="2800" w:type="dxa"/>
            <w:tcBorders>
              <w:top w:val="single" w:sz="4" w:space="0" w:color="auto"/>
              <w:left w:val="nil"/>
              <w:bottom w:val="single" w:sz="4" w:space="0" w:color="auto"/>
              <w:right w:val="nil"/>
            </w:tcBorders>
            <w:noWrap/>
            <w:hideMark/>
          </w:tcPr>
          <w:p w14:paraId="25FD1864"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Grupa 3</w:t>
            </w:r>
          </w:p>
        </w:tc>
        <w:tc>
          <w:tcPr>
            <w:tcW w:w="6839" w:type="dxa"/>
            <w:tcBorders>
              <w:top w:val="single" w:sz="4" w:space="0" w:color="auto"/>
              <w:left w:val="nil"/>
              <w:bottom w:val="single" w:sz="4" w:space="0" w:color="auto"/>
              <w:right w:val="nil"/>
            </w:tcBorders>
            <w:hideMark/>
          </w:tcPr>
          <w:p w14:paraId="799D7104"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Usluge izrade projektne dokumentacije, sigurnosnih analiza i studije utjecaja na okoliš za potrebe uspostave Centra za zbrinjavanje radioaktivnog otpada</w:t>
            </w:r>
          </w:p>
        </w:tc>
      </w:tr>
      <w:tr w:rsidR="005A0125" w:rsidRPr="003A6D7B" w14:paraId="0CE7D428" w14:textId="77777777" w:rsidTr="00B60D1E">
        <w:trPr>
          <w:trHeight w:val="300"/>
        </w:trPr>
        <w:tc>
          <w:tcPr>
            <w:tcW w:w="2800" w:type="dxa"/>
            <w:tcBorders>
              <w:top w:val="single" w:sz="4" w:space="0" w:color="auto"/>
              <w:left w:val="nil"/>
              <w:bottom w:val="single" w:sz="4" w:space="0" w:color="auto"/>
              <w:right w:val="nil"/>
            </w:tcBorders>
            <w:noWrap/>
            <w:hideMark/>
          </w:tcPr>
          <w:p w14:paraId="7C95043D"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HEP</w:t>
            </w:r>
          </w:p>
        </w:tc>
        <w:tc>
          <w:tcPr>
            <w:tcW w:w="6839" w:type="dxa"/>
            <w:tcBorders>
              <w:top w:val="single" w:sz="4" w:space="0" w:color="auto"/>
              <w:left w:val="nil"/>
              <w:bottom w:val="single" w:sz="4" w:space="0" w:color="auto"/>
              <w:right w:val="nil"/>
            </w:tcBorders>
            <w:noWrap/>
            <w:hideMark/>
          </w:tcPr>
          <w:p w14:paraId="7BD09B6E"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Hrvatska elektroprivreda d.d.</w:t>
            </w:r>
          </w:p>
        </w:tc>
      </w:tr>
      <w:tr w:rsidR="005A0125" w:rsidRPr="003A6D7B" w14:paraId="131705A5" w14:textId="77777777" w:rsidTr="00B60D1E">
        <w:trPr>
          <w:trHeight w:val="300"/>
        </w:trPr>
        <w:tc>
          <w:tcPr>
            <w:tcW w:w="2800" w:type="dxa"/>
            <w:tcBorders>
              <w:top w:val="single" w:sz="4" w:space="0" w:color="auto"/>
              <w:left w:val="nil"/>
              <w:bottom w:val="single" w:sz="4" w:space="0" w:color="auto"/>
              <w:right w:val="nil"/>
            </w:tcBorders>
            <w:noWrap/>
            <w:hideMark/>
          </w:tcPr>
          <w:p w14:paraId="34C2CC7D"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HNB</w:t>
            </w:r>
          </w:p>
        </w:tc>
        <w:tc>
          <w:tcPr>
            <w:tcW w:w="6839" w:type="dxa"/>
            <w:tcBorders>
              <w:top w:val="single" w:sz="4" w:space="0" w:color="auto"/>
              <w:left w:val="nil"/>
              <w:bottom w:val="single" w:sz="4" w:space="0" w:color="auto"/>
              <w:right w:val="nil"/>
            </w:tcBorders>
            <w:noWrap/>
            <w:hideMark/>
          </w:tcPr>
          <w:p w14:paraId="302B959A"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Hrvatska narodna banka</w:t>
            </w:r>
          </w:p>
        </w:tc>
      </w:tr>
      <w:tr w:rsidR="005A0125" w:rsidRPr="003A6D7B" w14:paraId="427A54DD" w14:textId="77777777" w:rsidTr="00B60D1E">
        <w:trPr>
          <w:trHeight w:val="300"/>
        </w:trPr>
        <w:tc>
          <w:tcPr>
            <w:tcW w:w="2800" w:type="dxa"/>
            <w:tcBorders>
              <w:top w:val="single" w:sz="4" w:space="0" w:color="auto"/>
              <w:left w:val="nil"/>
              <w:bottom w:val="single" w:sz="4" w:space="0" w:color="auto"/>
              <w:right w:val="nil"/>
            </w:tcBorders>
            <w:noWrap/>
            <w:hideMark/>
          </w:tcPr>
          <w:p w14:paraId="75405677"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HND</w:t>
            </w:r>
          </w:p>
        </w:tc>
        <w:tc>
          <w:tcPr>
            <w:tcW w:w="6839" w:type="dxa"/>
            <w:tcBorders>
              <w:top w:val="single" w:sz="4" w:space="0" w:color="auto"/>
              <w:left w:val="nil"/>
              <w:bottom w:val="single" w:sz="4" w:space="0" w:color="auto"/>
              <w:right w:val="nil"/>
            </w:tcBorders>
            <w:noWrap/>
            <w:hideMark/>
          </w:tcPr>
          <w:p w14:paraId="40421708"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Hrvatsko nuklearno društvo</w:t>
            </w:r>
          </w:p>
        </w:tc>
      </w:tr>
      <w:tr w:rsidR="005A0125" w:rsidRPr="003A6D7B" w14:paraId="7AEC873B" w14:textId="77777777" w:rsidTr="00B60D1E">
        <w:trPr>
          <w:trHeight w:val="300"/>
        </w:trPr>
        <w:tc>
          <w:tcPr>
            <w:tcW w:w="2800" w:type="dxa"/>
            <w:tcBorders>
              <w:top w:val="single" w:sz="4" w:space="0" w:color="auto"/>
              <w:left w:val="nil"/>
              <w:bottom w:val="single" w:sz="4" w:space="0" w:color="auto"/>
              <w:right w:val="nil"/>
            </w:tcBorders>
            <w:noWrap/>
            <w:hideMark/>
          </w:tcPr>
          <w:p w14:paraId="6A167CA5"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HRK</w:t>
            </w:r>
          </w:p>
        </w:tc>
        <w:tc>
          <w:tcPr>
            <w:tcW w:w="6839" w:type="dxa"/>
            <w:tcBorders>
              <w:top w:val="single" w:sz="4" w:space="0" w:color="auto"/>
              <w:left w:val="nil"/>
              <w:bottom w:val="single" w:sz="4" w:space="0" w:color="auto"/>
              <w:right w:val="nil"/>
            </w:tcBorders>
            <w:noWrap/>
            <w:hideMark/>
          </w:tcPr>
          <w:p w14:paraId="7BB8C863"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hrvatske kune</w:t>
            </w:r>
          </w:p>
        </w:tc>
      </w:tr>
      <w:tr w:rsidR="005A0125" w:rsidRPr="003A6D7B" w14:paraId="5734F481" w14:textId="77777777" w:rsidTr="00B60D1E">
        <w:trPr>
          <w:trHeight w:val="600"/>
        </w:trPr>
        <w:tc>
          <w:tcPr>
            <w:tcW w:w="2800" w:type="dxa"/>
            <w:tcBorders>
              <w:top w:val="single" w:sz="4" w:space="0" w:color="auto"/>
              <w:left w:val="nil"/>
              <w:bottom w:val="single" w:sz="4" w:space="0" w:color="auto"/>
              <w:right w:val="nil"/>
            </w:tcBorders>
            <w:noWrap/>
            <w:hideMark/>
          </w:tcPr>
          <w:p w14:paraId="1556D258"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IAEA</w:t>
            </w:r>
          </w:p>
        </w:tc>
        <w:tc>
          <w:tcPr>
            <w:tcW w:w="6839" w:type="dxa"/>
            <w:tcBorders>
              <w:top w:val="single" w:sz="4" w:space="0" w:color="auto"/>
              <w:left w:val="nil"/>
              <w:bottom w:val="single" w:sz="4" w:space="0" w:color="auto"/>
              <w:right w:val="nil"/>
            </w:tcBorders>
            <w:hideMark/>
          </w:tcPr>
          <w:p w14:paraId="3ED046B2"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Međunarodna agencija za atomsku energiju (International Atomic Energy Agency)</w:t>
            </w:r>
          </w:p>
        </w:tc>
      </w:tr>
      <w:tr w:rsidR="00CF4779" w:rsidRPr="003A6D7B" w14:paraId="75F3418B" w14:textId="77777777" w:rsidTr="00B60D1E">
        <w:trPr>
          <w:trHeight w:val="300"/>
        </w:trPr>
        <w:tc>
          <w:tcPr>
            <w:tcW w:w="2800" w:type="dxa"/>
            <w:tcBorders>
              <w:top w:val="single" w:sz="4" w:space="0" w:color="auto"/>
              <w:left w:val="nil"/>
              <w:bottom w:val="single" w:sz="4" w:space="0" w:color="auto"/>
              <w:right w:val="nil"/>
            </w:tcBorders>
            <w:noWrap/>
          </w:tcPr>
          <w:p w14:paraId="6AC3558C" w14:textId="53192174" w:rsidR="00CF4779" w:rsidRPr="003A6D7B" w:rsidRDefault="00CF4779"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IC-Dvor</w:t>
            </w:r>
          </w:p>
        </w:tc>
        <w:tc>
          <w:tcPr>
            <w:tcW w:w="6839" w:type="dxa"/>
            <w:tcBorders>
              <w:top w:val="single" w:sz="4" w:space="0" w:color="auto"/>
              <w:left w:val="nil"/>
              <w:bottom w:val="single" w:sz="4" w:space="0" w:color="auto"/>
              <w:right w:val="nil"/>
            </w:tcBorders>
            <w:noWrap/>
          </w:tcPr>
          <w:p w14:paraId="62B5DD2F" w14:textId="594A55B7" w:rsidR="00CF4779" w:rsidRPr="003A6D7B" w:rsidRDefault="00CF4779"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Info centar Dvor</w:t>
            </w:r>
          </w:p>
        </w:tc>
      </w:tr>
      <w:tr w:rsidR="005A0125" w:rsidRPr="003A6D7B" w14:paraId="7B8DCA1E" w14:textId="77777777" w:rsidTr="00B60D1E">
        <w:trPr>
          <w:trHeight w:val="300"/>
        </w:trPr>
        <w:tc>
          <w:tcPr>
            <w:tcW w:w="2800" w:type="dxa"/>
            <w:tcBorders>
              <w:top w:val="single" w:sz="4" w:space="0" w:color="auto"/>
              <w:left w:val="nil"/>
              <w:bottom w:val="single" w:sz="4" w:space="0" w:color="auto"/>
              <w:right w:val="nil"/>
            </w:tcBorders>
            <w:noWrap/>
            <w:hideMark/>
          </w:tcPr>
          <w:p w14:paraId="2594CA89"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II</w:t>
            </w:r>
          </w:p>
        </w:tc>
        <w:tc>
          <w:tcPr>
            <w:tcW w:w="6839" w:type="dxa"/>
            <w:tcBorders>
              <w:top w:val="single" w:sz="4" w:space="0" w:color="auto"/>
              <w:left w:val="nil"/>
              <w:bottom w:val="single" w:sz="4" w:space="0" w:color="auto"/>
              <w:right w:val="nil"/>
            </w:tcBorders>
            <w:noWrap/>
            <w:hideMark/>
          </w:tcPr>
          <w:p w14:paraId="582AC328"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iskorišteni izvori</w:t>
            </w:r>
          </w:p>
        </w:tc>
      </w:tr>
      <w:tr w:rsidR="00C1629A" w:rsidRPr="003A6D7B" w14:paraId="64A01B0A" w14:textId="77777777" w:rsidTr="00B60D1E">
        <w:trPr>
          <w:trHeight w:val="300"/>
        </w:trPr>
        <w:tc>
          <w:tcPr>
            <w:tcW w:w="2800" w:type="dxa"/>
            <w:tcBorders>
              <w:top w:val="single" w:sz="4" w:space="0" w:color="auto"/>
              <w:left w:val="nil"/>
              <w:bottom w:val="single" w:sz="4" w:space="0" w:color="auto"/>
              <w:right w:val="nil"/>
            </w:tcBorders>
            <w:noWrap/>
          </w:tcPr>
          <w:p w14:paraId="3240B65B" w14:textId="69F659D9"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IMI</w:t>
            </w:r>
          </w:p>
        </w:tc>
        <w:tc>
          <w:tcPr>
            <w:tcW w:w="6839" w:type="dxa"/>
            <w:tcBorders>
              <w:top w:val="single" w:sz="4" w:space="0" w:color="auto"/>
              <w:left w:val="nil"/>
              <w:bottom w:val="single" w:sz="4" w:space="0" w:color="auto"/>
              <w:right w:val="nil"/>
            </w:tcBorders>
            <w:noWrap/>
          </w:tcPr>
          <w:p w14:paraId="77A08876" w14:textId="05E55038"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Institut za medicinska istraživanja i medicinu rada, Zagreb</w:t>
            </w:r>
          </w:p>
        </w:tc>
      </w:tr>
      <w:tr w:rsidR="005A0125" w:rsidRPr="003A6D7B" w14:paraId="09AF98B8" w14:textId="77777777" w:rsidTr="00B60D1E">
        <w:trPr>
          <w:trHeight w:val="300"/>
        </w:trPr>
        <w:tc>
          <w:tcPr>
            <w:tcW w:w="2800" w:type="dxa"/>
            <w:tcBorders>
              <w:top w:val="single" w:sz="4" w:space="0" w:color="auto"/>
              <w:left w:val="nil"/>
              <w:bottom w:val="single" w:sz="4" w:space="0" w:color="auto"/>
              <w:right w:val="nil"/>
            </w:tcBorders>
            <w:noWrap/>
            <w:hideMark/>
          </w:tcPr>
          <w:p w14:paraId="098FD305"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ING</w:t>
            </w:r>
          </w:p>
        </w:tc>
        <w:tc>
          <w:tcPr>
            <w:tcW w:w="6839" w:type="dxa"/>
            <w:tcBorders>
              <w:top w:val="single" w:sz="4" w:space="0" w:color="auto"/>
              <w:left w:val="nil"/>
              <w:bottom w:val="single" w:sz="4" w:space="0" w:color="auto"/>
              <w:right w:val="nil"/>
            </w:tcBorders>
            <w:noWrap/>
            <w:hideMark/>
          </w:tcPr>
          <w:p w14:paraId="6D9F0C8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istrošeno nuklearno gorivo</w:t>
            </w:r>
          </w:p>
        </w:tc>
      </w:tr>
      <w:tr w:rsidR="005A0125" w:rsidRPr="003A6D7B" w14:paraId="329EFAD1" w14:textId="77777777" w:rsidTr="00B60D1E">
        <w:trPr>
          <w:trHeight w:val="300"/>
        </w:trPr>
        <w:tc>
          <w:tcPr>
            <w:tcW w:w="2800" w:type="dxa"/>
            <w:tcBorders>
              <w:top w:val="single" w:sz="4" w:space="0" w:color="auto"/>
              <w:left w:val="nil"/>
              <w:bottom w:val="single" w:sz="4" w:space="0" w:color="auto"/>
              <w:right w:val="nil"/>
            </w:tcBorders>
            <w:noWrap/>
            <w:hideMark/>
          </w:tcPr>
          <w:p w14:paraId="30827508"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IRAO</w:t>
            </w:r>
          </w:p>
        </w:tc>
        <w:tc>
          <w:tcPr>
            <w:tcW w:w="6839" w:type="dxa"/>
            <w:tcBorders>
              <w:top w:val="single" w:sz="4" w:space="0" w:color="auto"/>
              <w:left w:val="nil"/>
              <w:bottom w:val="single" w:sz="4" w:space="0" w:color="auto"/>
              <w:right w:val="nil"/>
            </w:tcBorders>
            <w:noWrap/>
            <w:hideMark/>
          </w:tcPr>
          <w:p w14:paraId="17D07180"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institucionalni radioaktivni otpad</w:t>
            </w:r>
          </w:p>
        </w:tc>
      </w:tr>
      <w:tr w:rsidR="00C1629A" w:rsidRPr="003A6D7B" w14:paraId="79FD3337" w14:textId="77777777" w:rsidTr="00B60D1E">
        <w:trPr>
          <w:trHeight w:val="300"/>
        </w:trPr>
        <w:tc>
          <w:tcPr>
            <w:tcW w:w="2800" w:type="dxa"/>
            <w:tcBorders>
              <w:top w:val="single" w:sz="4" w:space="0" w:color="auto"/>
              <w:left w:val="nil"/>
              <w:bottom w:val="single" w:sz="4" w:space="0" w:color="auto"/>
              <w:right w:val="nil"/>
            </w:tcBorders>
            <w:noWrap/>
          </w:tcPr>
          <w:p w14:paraId="0A37DE38" w14:textId="1FE3F647"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IRB</w:t>
            </w:r>
          </w:p>
        </w:tc>
        <w:tc>
          <w:tcPr>
            <w:tcW w:w="6839" w:type="dxa"/>
            <w:tcBorders>
              <w:top w:val="single" w:sz="4" w:space="0" w:color="auto"/>
              <w:left w:val="nil"/>
              <w:bottom w:val="single" w:sz="4" w:space="0" w:color="auto"/>
              <w:right w:val="nil"/>
            </w:tcBorders>
            <w:noWrap/>
          </w:tcPr>
          <w:p w14:paraId="1C54BDAC" w14:textId="0607F772"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Institut Ruđer Bošković, Zagreb</w:t>
            </w:r>
          </w:p>
        </w:tc>
      </w:tr>
      <w:tr w:rsidR="00C1629A" w:rsidRPr="003A6D7B" w14:paraId="506FC043" w14:textId="77777777" w:rsidTr="00B60D1E">
        <w:trPr>
          <w:trHeight w:val="300"/>
        </w:trPr>
        <w:tc>
          <w:tcPr>
            <w:tcW w:w="2800" w:type="dxa"/>
            <w:tcBorders>
              <w:top w:val="single" w:sz="4" w:space="0" w:color="auto"/>
              <w:left w:val="nil"/>
              <w:bottom w:val="single" w:sz="4" w:space="0" w:color="auto"/>
              <w:right w:val="nil"/>
            </w:tcBorders>
            <w:noWrap/>
          </w:tcPr>
          <w:p w14:paraId="55E3A353" w14:textId="4B1BBFDD"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ISU</w:t>
            </w:r>
          </w:p>
        </w:tc>
        <w:tc>
          <w:tcPr>
            <w:tcW w:w="6839" w:type="dxa"/>
            <w:tcBorders>
              <w:top w:val="single" w:sz="4" w:space="0" w:color="auto"/>
              <w:left w:val="nil"/>
              <w:bottom w:val="single" w:sz="4" w:space="0" w:color="auto"/>
              <w:right w:val="nil"/>
            </w:tcBorders>
            <w:noWrap/>
          </w:tcPr>
          <w:p w14:paraId="18FD81F8" w14:textId="6953AF41"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Integrirani sustav upravljanja </w:t>
            </w:r>
          </w:p>
        </w:tc>
      </w:tr>
      <w:tr w:rsidR="005A0125" w:rsidRPr="003A6D7B" w14:paraId="16341711" w14:textId="77777777" w:rsidTr="00B60D1E">
        <w:trPr>
          <w:trHeight w:val="300"/>
        </w:trPr>
        <w:tc>
          <w:tcPr>
            <w:tcW w:w="2800" w:type="dxa"/>
            <w:tcBorders>
              <w:top w:val="single" w:sz="4" w:space="0" w:color="auto"/>
              <w:left w:val="nil"/>
              <w:bottom w:val="single" w:sz="4" w:space="0" w:color="auto"/>
              <w:right w:val="nil"/>
            </w:tcBorders>
            <w:noWrap/>
            <w:hideMark/>
          </w:tcPr>
          <w:p w14:paraId="49C0EB1A"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kn</w:t>
            </w:r>
          </w:p>
        </w:tc>
        <w:tc>
          <w:tcPr>
            <w:tcW w:w="6839" w:type="dxa"/>
            <w:tcBorders>
              <w:top w:val="single" w:sz="4" w:space="0" w:color="auto"/>
              <w:left w:val="nil"/>
              <w:bottom w:val="single" w:sz="4" w:space="0" w:color="auto"/>
              <w:right w:val="nil"/>
            </w:tcBorders>
            <w:noWrap/>
            <w:hideMark/>
          </w:tcPr>
          <w:p w14:paraId="090815AC"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kuna</w:t>
            </w:r>
          </w:p>
        </w:tc>
      </w:tr>
      <w:tr w:rsidR="009533C8" w:rsidRPr="003A6D7B" w14:paraId="69BFF91B" w14:textId="77777777" w:rsidTr="00B60D1E">
        <w:trPr>
          <w:trHeight w:val="300"/>
        </w:trPr>
        <w:tc>
          <w:tcPr>
            <w:tcW w:w="2800" w:type="dxa"/>
            <w:tcBorders>
              <w:top w:val="single" w:sz="4" w:space="0" w:color="auto"/>
              <w:left w:val="nil"/>
              <w:bottom w:val="single" w:sz="4" w:space="0" w:color="auto"/>
              <w:right w:val="nil"/>
            </w:tcBorders>
            <w:noWrap/>
          </w:tcPr>
          <w:p w14:paraId="67182456" w14:textId="0A2D7117" w:rsidR="009533C8" w:rsidRPr="003A6D7B" w:rsidRDefault="009533C8"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MDP</w:t>
            </w:r>
          </w:p>
        </w:tc>
        <w:tc>
          <w:tcPr>
            <w:tcW w:w="6839" w:type="dxa"/>
            <w:tcBorders>
              <w:top w:val="single" w:sz="4" w:space="0" w:color="auto"/>
              <w:left w:val="nil"/>
              <w:bottom w:val="single" w:sz="4" w:space="0" w:color="auto"/>
              <w:right w:val="nil"/>
            </w:tcBorders>
            <w:noWrap/>
          </w:tcPr>
          <w:p w14:paraId="2436EA1C" w14:textId="08434F7A" w:rsidR="009533C8" w:rsidRPr="003A6D7B" w:rsidRDefault="009533C8"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Međudržavno povjerenstvo za praćenje provedbe Međudržavnog ugovora</w:t>
            </w:r>
          </w:p>
        </w:tc>
      </w:tr>
      <w:tr w:rsidR="005A0125" w:rsidRPr="003A6D7B" w14:paraId="2F8E7903" w14:textId="77777777" w:rsidTr="00B60D1E">
        <w:trPr>
          <w:trHeight w:val="1500"/>
        </w:trPr>
        <w:tc>
          <w:tcPr>
            <w:tcW w:w="2800" w:type="dxa"/>
            <w:tcBorders>
              <w:top w:val="single" w:sz="4" w:space="0" w:color="auto"/>
              <w:left w:val="nil"/>
              <w:bottom w:val="single" w:sz="4" w:space="0" w:color="auto"/>
              <w:right w:val="nil"/>
            </w:tcBorders>
            <w:noWrap/>
            <w:hideMark/>
          </w:tcPr>
          <w:p w14:paraId="533BC76A"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lastRenderedPageBreak/>
              <w:t>Međudržavni ugovor</w:t>
            </w:r>
          </w:p>
        </w:tc>
        <w:tc>
          <w:tcPr>
            <w:tcW w:w="6839" w:type="dxa"/>
            <w:tcBorders>
              <w:top w:val="single" w:sz="4" w:space="0" w:color="auto"/>
              <w:left w:val="nil"/>
              <w:bottom w:val="single" w:sz="4" w:space="0" w:color="auto"/>
              <w:right w:val="nil"/>
            </w:tcBorders>
            <w:hideMark/>
          </w:tcPr>
          <w:p w14:paraId="375E1669" w14:textId="67D95E5C"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Ugovor između Vlade Republike Hrvatske i Vlade Republike Slovenije o uređenju statusnih i drugih pravnih odnosa vezanih uz ulaganje, iskorištavanje i razgradnju Nuklearne elektrane Krško (Bilateralni ugovor, Ugovor) (Zakon o potvrđivanju ugovora, Narodne novine </w:t>
            </w:r>
            <w:r w:rsidR="00C1629A" w:rsidRPr="003A6D7B">
              <w:rPr>
                <w:rFonts w:ascii="Times New Roman" w:hAnsi="Times New Roman" w:cs="Times New Roman"/>
                <w:sz w:val="24"/>
                <w:szCs w:val="24"/>
              </w:rPr>
              <w:t>–</w:t>
            </w:r>
            <w:r w:rsidRPr="003A6D7B">
              <w:rPr>
                <w:rFonts w:ascii="Times New Roman" w:hAnsi="Times New Roman" w:cs="Times New Roman"/>
                <w:sz w:val="24"/>
                <w:szCs w:val="24"/>
              </w:rPr>
              <w:t xml:space="preserve"> Međudržavni ugovori br. 9/02)</w:t>
            </w:r>
          </w:p>
        </w:tc>
      </w:tr>
      <w:tr w:rsidR="005A0125" w:rsidRPr="003A6D7B" w14:paraId="548E52FC" w14:textId="77777777" w:rsidTr="00B60D1E">
        <w:trPr>
          <w:trHeight w:val="300"/>
        </w:trPr>
        <w:tc>
          <w:tcPr>
            <w:tcW w:w="2800" w:type="dxa"/>
            <w:tcBorders>
              <w:top w:val="single" w:sz="4" w:space="0" w:color="auto"/>
              <w:left w:val="nil"/>
              <w:bottom w:val="single" w:sz="4" w:space="0" w:color="auto"/>
              <w:right w:val="nil"/>
            </w:tcBorders>
            <w:noWrap/>
            <w:hideMark/>
          </w:tcPr>
          <w:p w14:paraId="5050DF0F"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MUP</w:t>
            </w:r>
          </w:p>
        </w:tc>
        <w:tc>
          <w:tcPr>
            <w:tcW w:w="6839" w:type="dxa"/>
            <w:tcBorders>
              <w:top w:val="single" w:sz="4" w:space="0" w:color="auto"/>
              <w:left w:val="nil"/>
              <w:bottom w:val="single" w:sz="4" w:space="0" w:color="auto"/>
              <w:right w:val="nil"/>
            </w:tcBorders>
            <w:noWrap/>
            <w:hideMark/>
          </w:tcPr>
          <w:p w14:paraId="498A2A87"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Ministarstvo unutarnjih poslova</w:t>
            </w:r>
          </w:p>
        </w:tc>
      </w:tr>
      <w:tr w:rsidR="005A0125" w:rsidRPr="003A6D7B" w14:paraId="52D06C7C" w14:textId="77777777" w:rsidTr="00B60D1E">
        <w:trPr>
          <w:trHeight w:val="300"/>
        </w:trPr>
        <w:tc>
          <w:tcPr>
            <w:tcW w:w="2800" w:type="dxa"/>
            <w:tcBorders>
              <w:top w:val="single" w:sz="4" w:space="0" w:color="auto"/>
              <w:left w:val="nil"/>
              <w:bottom w:val="single" w:sz="4" w:space="0" w:color="auto"/>
              <w:right w:val="nil"/>
            </w:tcBorders>
            <w:noWrap/>
          </w:tcPr>
          <w:p w14:paraId="12154BE4"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MINGOR</w:t>
            </w:r>
          </w:p>
        </w:tc>
        <w:tc>
          <w:tcPr>
            <w:tcW w:w="6839" w:type="dxa"/>
            <w:tcBorders>
              <w:top w:val="single" w:sz="4" w:space="0" w:color="auto"/>
              <w:left w:val="nil"/>
              <w:bottom w:val="single" w:sz="4" w:space="0" w:color="auto"/>
              <w:right w:val="nil"/>
            </w:tcBorders>
            <w:noWrap/>
          </w:tcPr>
          <w:p w14:paraId="560D2EFC"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Ministarstvo gospodarstva i održivog razvoja</w:t>
            </w:r>
          </w:p>
        </w:tc>
      </w:tr>
      <w:tr w:rsidR="001D52E4" w:rsidRPr="003A6D7B" w14:paraId="5DE267C7" w14:textId="77777777" w:rsidTr="00B60D1E">
        <w:trPr>
          <w:trHeight w:val="300"/>
        </w:trPr>
        <w:tc>
          <w:tcPr>
            <w:tcW w:w="2800" w:type="dxa"/>
            <w:tcBorders>
              <w:top w:val="single" w:sz="4" w:space="0" w:color="auto"/>
              <w:left w:val="nil"/>
              <w:bottom w:val="single" w:sz="4" w:space="0" w:color="auto"/>
              <w:right w:val="nil"/>
            </w:tcBorders>
            <w:noWrap/>
          </w:tcPr>
          <w:p w14:paraId="6E40BA27" w14:textId="044E22C1" w:rsidR="001D52E4" w:rsidRPr="003A6D7B" w:rsidRDefault="001D52E4"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Nacionalni program </w:t>
            </w:r>
          </w:p>
        </w:tc>
        <w:tc>
          <w:tcPr>
            <w:tcW w:w="6839" w:type="dxa"/>
            <w:tcBorders>
              <w:top w:val="single" w:sz="4" w:space="0" w:color="auto"/>
              <w:left w:val="nil"/>
              <w:bottom w:val="single" w:sz="4" w:space="0" w:color="auto"/>
              <w:right w:val="nil"/>
            </w:tcBorders>
            <w:noWrap/>
          </w:tcPr>
          <w:p w14:paraId="44326F3E" w14:textId="7B479AC3" w:rsidR="001D52E4" w:rsidRPr="003A6D7B" w:rsidRDefault="001D52E4"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Nacionalni program provedbe Strategije zbrinjavanja radioaktivnog otpada, iskorištenih izvora i istrošenog nuklearnog goriva (Program za razdoblje do 2025. godine s pogledom do 2060. godine) (Odluka o donošenju, NN 100/18)</w:t>
            </w:r>
          </w:p>
        </w:tc>
      </w:tr>
      <w:tr w:rsidR="005A0125" w:rsidRPr="003A6D7B" w14:paraId="64DA2875" w14:textId="77777777" w:rsidTr="00B60D1E">
        <w:trPr>
          <w:trHeight w:val="300"/>
        </w:trPr>
        <w:tc>
          <w:tcPr>
            <w:tcW w:w="2800" w:type="dxa"/>
            <w:tcBorders>
              <w:top w:val="single" w:sz="4" w:space="0" w:color="auto"/>
              <w:left w:val="nil"/>
              <w:bottom w:val="single" w:sz="4" w:space="0" w:color="auto"/>
              <w:right w:val="nil"/>
            </w:tcBorders>
            <w:noWrap/>
            <w:hideMark/>
          </w:tcPr>
          <w:p w14:paraId="20DEC35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NE</w:t>
            </w:r>
          </w:p>
        </w:tc>
        <w:tc>
          <w:tcPr>
            <w:tcW w:w="6839" w:type="dxa"/>
            <w:tcBorders>
              <w:top w:val="single" w:sz="4" w:space="0" w:color="auto"/>
              <w:left w:val="nil"/>
              <w:bottom w:val="single" w:sz="4" w:space="0" w:color="auto"/>
              <w:right w:val="nil"/>
            </w:tcBorders>
            <w:noWrap/>
            <w:hideMark/>
          </w:tcPr>
          <w:p w14:paraId="1CF7ADFB"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nuklearna elektrana</w:t>
            </w:r>
          </w:p>
        </w:tc>
      </w:tr>
      <w:tr w:rsidR="005A0125" w:rsidRPr="003A6D7B" w14:paraId="4C8210A8" w14:textId="77777777" w:rsidTr="00B60D1E">
        <w:trPr>
          <w:trHeight w:val="300"/>
        </w:trPr>
        <w:tc>
          <w:tcPr>
            <w:tcW w:w="2800" w:type="dxa"/>
            <w:tcBorders>
              <w:top w:val="single" w:sz="4" w:space="0" w:color="auto"/>
              <w:left w:val="nil"/>
              <w:bottom w:val="single" w:sz="4" w:space="0" w:color="auto"/>
              <w:right w:val="nil"/>
            </w:tcBorders>
            <w:noWrap/>
            <w:hideMark/>
          </w:tcPr>
          <w:p w14:paraId="204F0C23"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NEK</w:t>
            </w:r>
          </w:p>
        </w:tc>
        <w:tc>
          <w:tcPr>
            <w:tcW w:w="6839" w:type="dxa"/>
            <w:tcBorders>
              <w:top w:val="single" w:sz="4" w:space="0" w:color="auto"/>
              <w:left w:val="nil"/>
              <w:bottom w:val="single" w:sz="4" w:space="0" w:color="auto"/>
              <w:right w:val="nil"/>
            </w:tcBorders>
            <w:noWrap/>
            <w:hideMark/>
          </w:tcPr>
          <w:p w14:paraId="1391695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Nuklearna elektrana Krško (NE Krško)</w:t>
            </w:r>
          </w:p>
        </w:tc>
      </w:tr>
      <w:tr w:rsidR="005A0125" w:rsidRPr="003A6D7B" w14:paraId="3328BC29" w14:textId="77777777" w:rsidTr="00B60D1E">
        <w:trPr>
          <w:trHeight w:val="300"/>
        </w:trPr>
        <w:tc>
          <w:tcPr>
            <w:tcW w:w="2800" w:type="dxa"/>
            <w:tcBorders>
              <w:top w:val="single" w:sz="4" w:space="0" w:color="auto"/>
              <w:left w:val="nil"/>
              <w:bottom w:val="single" w:sz="4" w:space="0" w:color="auto"/>
              <w:right w:val="nil"/>
            </w:tcBorders>
            <w:noWrap/>
            <w:hideMark/>
          </w:tcPr>
          <w:p w14:paraId="67CC3C0D"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NSRAO</w:t>
            </w:r>
          </w:p>
        </w:tc>
        <w:tc>
          <w:tcPr>
            <w:tcW w:w="6839" w:type="dxa"/>
            <w:tcBorders>
              <w:top w:val="single" w:sz="4" w:space="0" w:color="auto"/>
              <w:left w:val="nil"/>
              <w:bottom w:val="single" w:sz="4" w:space="0" w:color="auto"/>
              <w:right w:val="nil"/>
            </w:tcBorders>
            <w:noWrap/>
            <w:hideMark/>
          </w:tcPr>
          <w:p w14:paraId="2128BEB4"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nisko i srednje radioaktivni otpad</w:t>
            </w:r>
          </w:p>
        </w:tc>
      </w:tr>
      <w:tr w:rsidR="002C234B" w:rsidRPr="003A6D7B" w14:paraId="2CC90302" w14:textId="77777777" w:rsidTr="00B60D1E">
        <w:trPr>
          <w:trHeight w:val="300"/>
        </w:trPr>
        <w:tc>
          <w:tcPr>
            <w:tcW w:w="2800" w:type="dxa"/>
            <w:tcBorders>
              <w:top w:val="single" w:sz="4" w:space="0" w:color="auto"/>
              <w:left w:val="nil"/>
              <w:bottom w:val="single" w:sz="4" w:space="0" w:color="auto"/>
              <w:right w:val="nil"/>
            </w:tcBorders>
            <w:noWrap/>
          </w:tcPr>
          <w:p w14:paraId="461FCEB7" w14:textId="6AA73A0B" w:rsidR="002C234B" w:rsidRPr="003A6D7B" w:rsidRDefault="002C234B"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PDV</w:t>
            </w:r>
          </w:p>
        </w:tc>
        <w:tc>
          <w:tcPr>
            <w:tcW w:w="6839" w:type="dxa"/>
            <w:tcBorders>
              <w:top w:val="single" w:sz="4" w:space="0" w:color="auto"/>
              <w:left w:val="nil"/>
              <w:bottom w:val="single" w:sz="4" w:space="0" w:color="auto"/>
              <w:right w:val="nil"/>
            </w:tcBorders>
            <w:noWrap/>
          </w:tcPr>
          <w:p w14:paraId="4D4A0C5C" w14:textId="372CF05D" w:rsidR="002C234B" w:rsidRPr="003A6D7B" w:rsidRDefault="002C234B"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Porez na dodanu vrijednost</w:t>
            </w:r>
          </w:p>
        </w:tc>
      </w:tr>
      <w:tr w:rsidR="005A0125" w:rsidRPr="003A6D7B" w14:paraId="75B28619" w14:textId="77777777" w:rsidTr="00B60D1E">
        <w:trPr>
          <w:trHeight w:val="300"/>
        </w:trPr>
        <w:tc>
          <w:tcPr>
            <w:tcW w:w="2800" w:type="dxa"/>
            <w:tcBorders>
              <w:top w:val="single" w:sz="4" w:space="0" w:color="auto"/>
              <w:left w:val="nil"/>
              <w:bottom w:val="single" w:sz="4" w:space="0" w:color="auto"/>
              <w:right w:val="nil"/>
            </w:tcBorders>
            <w:noWrap/>
            <w:hideMark/>
          </w:tcPr>
          <w:p w14:paraId="74111E14"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PO</w:t>
            </w:r>
          </w:p>
        </w:tc>
        <w:tc>
          <w:tcPr>
            <w:tcW w:w="6839" w:type="dxa"/>
            <w:tcBorders>
              <w:top w:val="single" w:sz="4" w:space="0" w:color="auto"/>
              <w:left w:val="nil"/>
              <w:bottom w:val="single" w:sz="4" w:space="0" w:color="auto"/>
              <w:right w:val="nil"/>
            </w:tcBorders>
            <w:noWrap/>
            <w:hideMark/>
          </w:tcPr>
          <w:p w14:paraId="4FBBE0F9"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Program odlaganja RAO-a i ING-a iz NEK-a</w:t>
            </w:r>
          </w:p>
        </w:tc>
      </w:tr>
      <w:tr w:rsidR="005A0125" w:rsidRPr="003A6D7B" w14:paraId="72AD8378" w14:textId="77777777" w:rsidTr="00B60D1E">
        <w:trPr>
          <w:trHeight w:val="300"/>
        </w:trPr>
        <w:tc>
          <w:tcPr>
            <w:tcW w:w="2800" w:type="dxa"/>
            <w:tcBorders>
              <w:top w:val="single" w:sz="4" w:space="0" w:color="auto"/>
              <w:left w:val="nil"/>
              <w:bottom w:val="single" w:sz="4" w:space="0" w:color="auto"/>
              <w:right w:val="nil"/>
            </w:tcBorders>
            <w:noWrap/>
            <w:hideMark/>
          </w:tcPr>
          <w:p w14:paraId="5CCF5E86"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PR</w:t>
            </w:r>
          </w:p>
        </w:tc>
        <w:tc>
          <w:tcPr>
            <w:tcW w:w="6839" w:type="dxa"/>
            <w:tcBorders>
              <w:top w:val="single" w:sz="4" w:space="0" w:color="auto"/>
              <w:left w:val="nil"/>
              <w:bottom w:val="single" w:sz="4" w:space="0" w:color="auto"/>
              <w:right w:val="nil"/>
            </w:tcBorders>
            <w:noWrap/>
            <w:hideMark/>
          </w:tcPr>
          <w:p w14:paraId="1A6A14D2"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Program razgradnje NEK-a</w:t>
            </w:r>
          </w:p>
        </w:tc>
      </w:tr>
      <w:tr w:rsidR="002C234B" w:rsidRPr="003A6D7B" w14:paraId="7F5F4FF1" w14:textId="77777777" w:rsidTr="00B60D1E">
        <w:trPr>
          <w:trHeight w:val="300"/>
        </w:trPr>
        <w:tc>
          <w:tcPr>
            <w:tcW w:w="2800" w:type="dxa"/>
            <w:tcBorders>
              <w:top w:val="single" w:sz="4" w:space="0" w:color="auto"/>
              <w:left w:val="nil"/>
              <w:bottom w:val="single" w:sz="4" w:space="0" w:color="auto"/>
              <w:right w:val="nil"/>
            </w:tcBorders>
            <w:noWrap/>
          </w:tcPr>
          <w:p w14:paraId="6F3E8712" w14:textId="7A14CE41" w:rsidR="002C234B" w:rsidRPr="003A6D7B" w:rsidRDefault="002C234B"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RCC</w:t>
            </w:r>
          </w:p>
        </w:tc>
        <w:tc>
          <w:tcPr>
            <w:tcW w:w="6839" w:type="dxa"/>
            <w:tcBorders>
              <w:top w:val="single" w:sz="4" w:space="0" w:color="auto"/>
              <w:left w:val="nil"/>
              <w:bottom w:val="single" w:sz="4" w:space="0" w:color="auto"/>
              <w:right w:val="nil"/>
            </w:tcBorders>
            <w:noWrap/>
          </w:tcPr>
          <w:p w14:paraId="4CD0BFEA" w14:textId="57FDCC1C" w:rsidR="002C234B" w:rsidRPr="003A6D7B" w:rsidRDefault="002C234B" w:rsidP="00B60D1E">
            <w:pPr>
              <w:spacing w:line="276" w:lineRule="auto"/>
              <w:rPr>
                <w:rFonts w:ascii="Times New Roman" w:hAnsi="Times New Roman" w:cs="Times New Roman"/>
                <w:sz w:val="24"/>
                <w:szCs w:val="24"/>
                <w:lang w:val="en-GB"/>
              </w:rPr>
            </w:pPr>
            <w:r w:rsidRPr="003A6D7B">
              <w:rPr>
                <w:rFonts w:ascii="Times New Roman" w:hAnsi="Times New Roman" w:cs="Times New Roman"/>
                <w:sz w:val="24"/>
                <w:szCs w:val="24"/>
                <w:lang w:val="en-GB"/>
              </w:rPr>
              <w:t>Reinforced Concrete Container</w:t>
            </w:r>
          </w:p>
        </w:tc>
      </w:tr>
      <w:tr w:rsidR="00C1629A" w:rsidRPr="003A6D7B" w14:paraId="46247342" w14:textId="77777777" w:rsidTr="00B60D1E">
        <w:trPr>
          <w:trHeight w:val="300"/>
        </w:trPr>
        <w:tc>
          <w:tcPr>
            <w:tcW w:w="2800" w:type="dxa"/>
            <w:tcBorders>
              <w:top w:val="single" w:sz="4" w:space="0" w:color="auto"/>
              <w:left w:val="nil"/>
              <w:bottom w:val="single" w:sz="4" w:space="0" w:color="auto"/>
              <w:right w:val="nil"/>
            </w:tcBorders>
            <w:noWrap/>
          </w:tcPr>
          <w:p w14:paraId="46D2C86F" w14:textId="7F4F967E" w:rsidR="00C1629A" w:rsidRPr="003A6D7B" w:rsidRDefault="00C1629A"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RAG</w:t>
            </w:r>
          </w:p>
        </w:tc>
        <w:tc>
          <w:tcPr>
            <w:tcW w:w="6839" w:type="dxa"/>
            <w:tcBorders>
              <w:top w:val="single" w:sz="4" w:space="0" w:color="auto"/>
              <w:left w:val="nil"/>
              <w:bottom w:val="single" w:sz="4" w:space="0" w:color="auto"/>
              <w:right w:val="nil"/>
            </w:tcBorders>
            <w:noWrap/>
          </w:tcPr>
          <w:p w14:paraId="1F6022D1" w14:textId="24A29D42" w:rsidR="00C1629A" w:rsidRPr="003A6D7B" w:rsidRDefault="00C1629A" w:rsidP="00B60D1E">
            <w:pPr>
              <w:spacing w:line="276" w:lineRule="auto"/>
              <w:rPr>
                <w:rFonts w:ascii="Times New Roman" w:hAnsi="Times New Roman" w:cs="Times New Roman"/>
                <w:sz w:val="24"/>
                <w:szCs w:val="24"/>
                <w:lang w:val="en-GB"/>
              </w:rPr>
            </w:pPr>
            <w:r w:rsidRPr="003A6D7B">
              <w:rPr>
                <w:rFonts w:ascii="Times New Roman" w:hAnsi="Times New Roman" w:cs="Times New Roman"/>
                <w:sz w:val="24"/>
                <w:szCs w:val="24"/>
                <w:lang w:val="en-GB"/>
              </w:rPr>
              <w:t>Radioaktivni gromobran</w:t>
            </w:r>
          </w:p>
        </w:tc>
      </w:tr>
      <w:tr w:rsidR="005A0125" w:rsidRPr="003A6D7B" w14:paraId="44D6CFA0" w14:textId="77777777" w:rsidTr="00B60D1E">
        <w:trPr>
          <w:trHeight w:val="300"/>
        </w:trPr>
        <w:tc>
          <w:tcPr>
            <w:tcW w:w="2800" w:type="dxa"/>
            <w:tcBorders>
              <w:top w:val="single" w:sz="4" w:space="0" w:color="auto"/>
              <w:left w:val="nil"/>
              <w:bottom w:val="single" w:sz="4" w:space="0" w:color="auto"/>
              <w:right w:val="nil"/>
            </w:tcBorders>
            <w:noWrap/>
            <w:hideMark/>
          </w:tcPr>
          <w:p w14:paraId="059981DE"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RAO</w:t>
            </w:r>
          </w:p>
        </w:tc>
        <w:tc>
          <w:tcPr>
            <w:tcW w:w="6839" w:type="dxa"/>
            <w:tcBorders>
              <w:top w:val="single" w:sz="4" w:space="0" w:color="auto"/>
              <w:left w:val="nil"/>
              <w:bottom w:val="single" w:sz="4" w:space="0" w:color="auto"/>
              <w:right w:val="nil"/>
            </w:tcBorders>
            <w:noWrap/>
            <w:hideMark/>
          </w:tcPr>
          <w:p w14:paraId="6D17CB15"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radioaktivni otpad</w:t>
            </w:r>
          </w:p>
        </w:tc>
      </w:tr>
      <w:tr w:rsidR="005A0125" w:rsidRPr="003A6D7B" w14:paraId="03587288" w14:textId="77777777" w:rsidTr="00B60D1E">
        <w:trPr>
          <w:trHeight w:val="300"/>
        </w:trPr>
        <w:tc>
          <w:tcPr>
            <w:tcW w:w="2800" w:type="dxa"/>
            <w:tcBorders>
              <w:top w:val="single" w:sz="4" w:space="0" w:color="auto"/>
              <w:left w:val="nil"/>
              <w:bottom w:val="single" w:sz="4" w:space="0" w:color="auto"/>
              <w:right w:val="nil"/>
            </w:tcBorders>
            <w:noWrap/>
            <w:hideMark/>
          </w:tcPr>
          <w:p w14:paraId="7FE815A5"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Repo</w:t>
            </w:r>
          </w:p>
        </w:tc>
        <w:tc>
          <w:tcPr>
            <w:tcW w:w="6839" w:type="dxa"/>
            <w:tcBorders>
              <w:top w:val="single" w:sz="4" w:space="0" w:color="auto"/>
              <w:left w:val="nil"/>
              <w:bottom w:val="single" w:sz="4" w:space="0" w:color="auto"/>
              <w:right w:val="nil"/>
            </w:tcBorders>
            <w:noWrap/>
            <w:hideMark/>
          </w:tcPr>
          <w:p w14:paraId="05936A0F"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Sale and Repurchase Agreement</w:t>
            </w:r>
          </w:p>
        </w:tc>
      </w:tr>
      <w:tr w:rsidR="005A0125" w:rsidRPr="003A6D7B" w14:paraId="2ED32946" w14:textId="77777777" w:rsidTr="00B60D1E">
        <w:trPr>
          <w:trHeight w:val="300"/>
        </w:trPr>
        <w:tc>
          <w:tcPr>
            <w:tcW w:w="2800" w:type="dxa"/>
            <w:tcBorders>
              <w:top w:val="single" w:sz="4" w:space="0" w:color="auto"/>
              <w:left w:val="nil"/>
              <w:bottom w:val="single" w:sz="4" w:space="0" w:color="auto"/>
              <w:right w:val="nil"/>
            </w:tcBorders>
            <w:noWrap/>
            <w:hideMark/>
          </w:tcPr>
          <w:p w14:paraId="7C7221D3"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RW</w:t>
            </w:r>
          </w:p>
        </w:tc>
        <w:tc>
          <w:tcPr>
            <w:tcW w:w="6839" w:type="dxa"/>
            <w:tcBorders>
              <w:top w:val="single" w:sz="4" w:space="0" w:color="auto"/>
              <w:left w:val="nil"/>
              <w:bottom w:val="single" w:sz="4" w:space="0" w:color="auto"/>
              <w:right w:val="nil"/>
            </w:tcBorders>
            <w:noWrap/>
            <w:hideMark/>
          </w:tcPr>
          <w:p w14:paraId="41888E98"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Radioactive Waste</w:t>
            </w:r>
          </w:p>
        </w:tc>
      </w:tr>
      <w:tr w:rsidR="005A0125" w:rsidRPr="003A6D7B" w14:paraId="7D7E635F" w14:textId="77777777" w:rsidTr="00B60D1E">
        <w:trPr>
          <w:trHeight w:val="900"/>
        </w:trPr>
        <w:tc>
          <w:tcPr>
            <w:tcW w:w="2800" w:type="dxa"/>
            <w:tcBorders>
              <w:top w:val="single" w:sz="4" w:space="0" w:color="auto"/>
              <w:left w:val="nil"/>
              <w:bottom w:val="single" w:sz="4" w:space="0" w:color="auto"/>
              <w:right w:val="nil"/>
            </w:tcBorders>
            <w:noWrap/>
            <w:hideMark/>
          </w:tcPr>
          <w:p w14:paraId="154AFB67"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Strategija</w:t>
            </w:r>
          </w:p>
        </w:tc>
        <w:tc>
          <w:tcPr>
            <w:tcW w:w="6839" w:type="dxa"/>
            <w:tcBorders>
              <w:top w:val="single" w:sz="4" w:space="0" w:color="auto"/>
              <w:left w:val="nil"/>
              <w:bottom w:val="single" w:sz="4" w:space="0" w:color="auto"/>
              <w:right w:val="nil"/>
            </w:tcBorders>
            <w:hideMark/>
          </w:tcPr>
          <w:p w14:paraId="789B6BAA"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Strategija zbrinjavanja radioaktivnog otpada, iskorištenih izvora i istrošenog nuklearnog goriva (kraće: Strategija zbrinjavanja RAO-a, II-a i ING-a) (Narodne novine br. 125/14)</w:t>
            </w:r>
          </w:p>
        </w:tc>
      </w:tr>
      <w:tr w:rsidR="009F71D3" w:rsidRPr="003A6D7B" w14:paraId="0880B453" w14:textId="77777777" w:rsidTr="00B60D1E">
        <w:trPr>
          <w:trHeight w:val="300"/>
        </w:trPr>
        <w:tc>
          <w:tcPr>
            <w:tcW w:w="2800" w:type="dxa"/>
            <w:tcBorders>
              <w:top w:val="single" w:sz="4" w:space="0" w:color="auto"/>
              <w:left w:val="nil"/>
              <w:bottom w:val="single" w:sz="4" w:space="0" w:color="auto"/>
              <w:right w:val="nil"/>
            </w:tcBorders>
            <w:noWrap/>
          </w:tcPr>
          <w:p w14:paraId="4DB32EF8" w14:textId="74453956" w:rsidR="009F71D3" w:rsidRPr="003A6D7B" w:rsidRDefault="009F71D3"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UCITS</w:t>
            </w:r>
          </w:p>
        </w:tc>
        <w:tc>
          <w:tcPr>
            <w:tcW w:w="6839" w:type="dxa"/>
            <w:tcBorders>
              <w:top w:val="single" w:sz="4" w:space="0" w:color="auto"/>
              <w:left w:val="nil"/>
              <w:bottom w:val="single" w:sz="4" w:space="0" w:color="auto"/>
              <w:right w:val="nil"/>
            </w:tcBorders>
            <w:noWrap/>
          </w:tcPr>
          <w:p w14:paraId="6E1DCE50" w14:textId="4333DD01" w:rsidR="009F71D3" w:rsidRPr="003A6D7B" w:rsidRDefault="009F71D3"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Undertakings for Collective Investment in Transferable Securities</w:t>
            </w:r>
          </w:p>
        </w:tc>
      </w:tr>
      <w:tr w:rsidR="002C234B" w:rsidRPr="003A6D7B" w14:paraId="6F014114" w14:textId="77777777" w:rsidTr="00B60D1E">
        <w:trPr>
          <w:trHeight w:val="300"/>
        </w:trPr>
        <w:tc>
          <w:tcPr>
            <w:tcW w:w="2800" w:type="dxa"/>
            <w:tcBorders>
              <w:top w:val="single" w:sz="4" w:space="0" w:color="auto"/>
              <w:left w:val="nil"/>
              <w:bottom w:val="single" w:sz="4" w:space="0" w:color="auto"/>
              <w:right w:val="nil"/>
            </w:tcBorders>
            <w:noWrap/>
          </w:tcPr>
          <w:p w14:paraId="4C40E914" w14:textId="2FE2422C" w:rsidR="002C234B" w:rsidRPr="003A6D7B" w:rsidRDefault="002C234B"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UPUDR</w:t>
            </w:r>
          </w:p>
        </w:tc>
        <w:tc>
          <w:tcPr>
            <w:tcW w:w="6839" w:type="dxa"/>
            <w:tcBorders>
              <w:top w:val="single" w:sz="4" w:space="0" w:color="auto"/>
              <w:left w:val="nil"/>
              <w:bottom w:val="single" w:sz="4" w:space="0" w:color="auto"/>
              <w:right w:val="nil"/>
            </w:tcBorders>
            <w:noWrap/>
          </w:tcPr>
          <w:p w14:paraId="713A9208" w14:textId="3534F3CE" w:rsidR="002C234B" w:rsidRPr="003A6D7B" w:rsidRDefault="002C234B"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Urbanistički plan uređenja državnog značaja</w:t>
            </w:r>
          </w:p>
        </w:tc>
      </w:tr>
      <w:tr w:rsidR="005A0125" w:rsidRPr="003A6D7B" w14:paraId="742D9A9B" w14:textId="77777777" w:rsidTr="00B60D1E">
        <w:trPr>
          <w:trHeight w:val="300"/>
        </w:trPr>
        <w:tc>
          <w:tcPr>
            <w:tcW w:w="2800" w:type="dxa"/>
            <w:tcBorders>
              <w:top w:val="single" w:sz="4" w:space="0" w:color="auto"/>
              <w:left w:val="nil"/>
              <w:bottom w:val="single" w:sz="4" w:space="0" w:color="auto"/>
              <w:right w:val="nil"/>
            </w:tcBorders>
            <w:noWrap/>
            <w:hideMark/>
          </w:tcPr>
          <w:p w14:paraId="0C2E1EA2"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VRAO</w:t>
            </w:r>
          </w:p>
        </w:tc>
        <w:tc>
          <w:tcPr>
            <w:tcW w:w="6839" w:type="dxa"/>
            <w:tcBorders>
              <w:top w:val="single" w:sz="4" w:space="0" w:color="auto"/>
              <w:left w:val="nil"/>
              <w:bottom w:val="single" w:sz="4" w:space="0" w:color="auto"/>
              <w:right w:val="nil"/>
            </w:tcBorders>
            <w:noWrap/>
            <w:hideMark/>
          </w:tcPr>
          <w:p w14:paraId="6059E831"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visoko radioaktivni otpad</w:t>
            </w:r>
          </w:p>
        </w:tc>
      </w:tr>
      <w:tr w:rsidR="005A0125" w:rsidRPr="003A6D7B" w14:paraId="3F7454C3" w14:textId="77777777" w:rsidTr="00B60D1E">
        <w:trPr>
          <w:trHeight w:val="300"/>
        </w:trPr>
        <w:tc>
          <w:tcPr>
            <w:tcW w:w="2800" w:type="dxa"/>
            <w:tcBorders>
              <w:top w:val="single" w:sz="4" w:space="0" w:color="auto"/>
              <w:left w:val="nil"/>
              <w:bottom w:val="single" w:sz="4" w:space="0" w:color="auto"/>
              <w:right w:val="nil"/>
            </w:tcBorders>
            <w:noWrap/>
            <w:hideMark/>
          </w:tcPr>
          <w:p w14:paraId="14912159"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VSK</w:t>
            </w:r>
          </w:p>
        </w:tc>
        <w:tc>
          <w:tcPr>
            <w:tcW w:w="6839" w:type="dxa"/>
            <w:tcBorders>
              <w:top w:val="single" w:sz="4" w:space="0" w:color="auto"/>
              <w:left w:val="nil"/>
              <w:bottom w:val="single" w:sz="4" w:space="0" w:color="auto"/>
              <w:right w:val="nil"/>
            </w:tcBorders>
            <w:noWrap/>
            <w:hideMark/>
          </w:tcPr>
          <w:p w14:paraId="1EB922AF" w14:textId="77777777" w:rsidR="005A0125" w:rsidRPr="003A6D7B" w:rsidRDefault="005A0125"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Vojno-skladišni kompleks </w:t>
            </w:r>
          </w:p>
        </w:tc>
      </w:tr>
      <w:tr w:rsidR="009533C8" w:rsidRPr="003A6D7B" w14:paraId="194F3D97" w14:textId="77777777" w:rsidTr="00B60D1E">
        <w:trPr>
          <w:trHeight w:val="300"/>
        </w:trPr>
        <w:tc>
          <w:tcPr>
            <w:tcW w:w="2800" w:type="dxa"/>
            <w:tcBorders>
              <w:top w:val="single" w:sz="4" w:space="0" w:color="auto"/>
              <w:left w:val="nil"/>
              <w:bottom w:val="single" w:sz="4" w:space="0" w:color="auto"/>
              <w:right w:val="nil"/>
            </w:tcBorders>
            <w:noWrap/>
          </w:tcPr>
          <w:p w14:paraId="3660FBE8" w14:textId="3C8644C0" w:rsidR="009533C8" w:rsidRPr="003A6D7B" w:rsidRDefault="009533C8"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WAC</w:t>
            </w:r>
          </w:p>
        </w:tc>
        <w:tc>
          <w:tcPr>
            <w:tcW w:w="6839" w:type="dxa"/>
            <w:tcBorders>
              <w:top w:val="single" w:sz="4" w:space="0" w:color="auto"/>
              <w:left w:val="nil"/>
              <w:bottom w:val="single" w:sz="4" w:space="0" w:color="auto"/>
              <w:right w:val="nil"/>
            </w:tcBorders>
            <w:noWrap/>
          </w:tcPr>
          <w:p w14:paraId="41ACB2AC" w14:textId="52313BF7" w:rsidR="009533C8" w:rsidRPr="003A6D7B" w:rsidRDefault="009533C8" w:rsidP="00B60D1E">
            <w:pPr>
              <w:spacing w:line="276" w:lineRule="auto"/>
              <w:rPr>
                <w:rFonts w:ascii="Times New Roman" w:hAnsi="Times New Roman" w:cs="Times New Roman"/>
                <w:sz w:val="24"/>
                <w:szCs w:val="24"/>
              </w:rPr>
            </w:pPr>
            <w:r w:rsidRPr="003A6D7B">
              <w:rPr>
                <w:rFonts w:ascii="Times New Roman" w:hAnsi="Times New Roman" w:cs="Times New Roman"/>
                <w:sz w:val="24"/>
                <w:szCs w:val="24"/>
              </w:rPr>
              <w:t xml:space="preserve">Waste acceptance criterija </w:t>
            </w:r>
          </w:p>
        </w:tc>
      </w:tr>
    </w:tbl>
    <w:p w14:paraId="4D7EC105" w14:textId="77777777" w:rsidR="00A82B42" w:rsidRPr="003A6D7B" w:rsidRDefault="00A82B42">
      <w:pPr>
        <w:spacing w:after="160"/>
        <w:jc w:val="left"/>
        <w:rPr>
          <w:rFonts w:ascii="Times New Roman" w:hAnsi="Times New Roman" w:cs="Times New Roman"/>
          <w:color w:val="595959" w:themeColor="text1" w:themeTint="A6"/>
          <w:sz w:val="44"/>
          <w:szCs w:val="60"/>
        </w:rPr>
      </w:pPr>
      <w:r w:rsidRPr="003A6D7B">
        <w:rPr>
          <w:rFonts w:ascii="Times New Roman" w:hAnsi="Times New Roman" w:cs="Times New Roman"/>
        </w:rPr>
        <w:br w:type="page"/>
      </w:r>
    </w:p>
    <w:p w14:paraId="23A51735" w14:textId="2327919D" w:rsidR="00931C4C" w:rsidRPr="003A6D7B" w:rsidRDefault="005A0125" w:rsidP="00AF4F25">
      <w:pPr>
        <w:pStyle w:val="Heading1"/>
      </w:pPr>
      <w:bookmarkStart w:id="159" w:name="_Toc130809375"/>
      <w:r w:rsidRPr="003A6D7B">
        <w:lastRenderedPageBreak/>
        <w:t>Dodatak I</w:t>
      </w:r>
      <w:r w:rsidR="00CD7B5C" w:rsidRPr="003A6D7B">
        <w:t>I</w:t>
      </w:r>
      <w:r w:rsidRPr="003A6D7B">
        <w:t xml:space="preserve">I - </w:t>
      </w:r>
      <w:r w:rsidR="00931C4C" w:rsidRPr="003A6D7B">
        <w:t>Popis tablica</w:t>
      </w:r>
      <w:bookmarkEnd w:id="159"/>
    </w:p>
    <w:p w14:paraId="2ADE1916" w14:textId="6E6D4522" w:rsidR="00CD290C" w:rsidRDefault="00931C4C">
      <w:pPr>
        <w:pStyle w:val="TableofFigures"/>
        <w:tabs>
          <w:tab w:val="right" w:leader="dot" w:pos="9607"/>
        </w:tabs>
        <w:rPr>
          <w:rFonts w:asciiTheme="minorHAnsi" w:hAnsiTheme="minorHAnsi"/>
          <w:noProof/>
          <w:color w:val="auto"/>
          <w:lang w:eastAsia="hr-HR"/>
        </w:rPr>
      </w:pPr>
      <w:r w:rsidRPr="003A6D7B">
        <w:rPr>
          <w:rFonts w:ascii="Times New Roman" w:hAnsi="Times New Roman" w:cs="Times New Roman"/>
          <w:sz w:val="24"/>
          <w:szCs w:val="24"/>
        </w:rPr>
        <w:fldChar w:fldCharType="begin"/>
      </w:r>
      <w:r w:rsidRPr="003A6D7B">
        <w:rPr>
          <w:rFonts w:ascii="Times New Roman" w:hAnsi="Times New Roman" w:cs="Times New Roman"/>
          <w:sz w:val="24"/>
          <w:szCs w:val="24"/>
        </w:rPr>
        <w:instrText xml:space="preserve"> TOC \h \z \c "Tablica" </w:instrText>
      </w:r>
      <w:r w:rsidRPr="003A6D7B">
        <w:rPr>
          <w:rFonts w:ascii="Times New Roman" w:hAnsi="Times New Roman" w:cs="Times New Roman"/>
          <w:sz w:val="24"/>
          <w:szCs w:val="24"/>
        </w:rPr>
        <w:fldChar w:fldCharType="separate"/>
      </w:r>
      <w:hyperlink w:anchor="_Toc130809256" w:history="1">
        <w:r w:rsidR="00CD290C" w:rsidRPr="008D0F4A">
          <w:rPr>
            <w:rStyle w:val="Hyperlink"/>
            <w:rFonts w:ascii="Times New Roman" w:hAnsi="Times New Roman" w:cs="Times New Roman"/>
            <w:noProof/>
          </w:rPr>
          <w:t>Tablica 1 – Planirani troškovi i investicije -  RAO</w:t>
        </w:r>
        <w:r w:rsidR="00CD290C">
          <w:rPr>
            <w:noProof/>
            <w:webHidden/>
          </w:rPr>
          <w:tab/>
        </w:r>
        <w:r w:rsidR="00CD290C">
          <w:rPr>
            <w:noProof/>
            <w:webHidden/>
          </w:rPr>
          <w:fldChar w:fldCharType="begin"/>
        </w:r>
        <w:r w:rsidR="00CD290C">
          <w:rPr>
            <w:noProof/>
            <w:webHidden/>
          </w:rPr>
          <w:instrText xml:space="preserve"> PAGEREF _Toc130809256 \h </w:instrText>
        </w:r>
        <w:r w:rsidR="00CD290C">
          <w:rPr>
            <w:noProof/>
            <w:webHidden/>
          </w:rPr>
        </w:r>
        <w:r w:rsidR="00CD290C">
          <w:rPr>
            <w:noProof/>
            <w:webHidden/>
          </w:rPr>
          <w:fldChar w:fldCharType="separate"/>
        </w:r>
        <w:r w:rsidR="00CD290C">
          <w:rPr>
            <w:noProof/>
            <w:webHidden/>
          </w:rPr>
          <w:t>17</w:t>
        </w:r>
        <w:r w:rsidR="00CD290C">
          <w:rPr>
            <w:noProof/>
            <w:webHidden/>
          </w:rPr>
          <w:fldChar w:fldCharType="end"/>
        </w:r>
      </w:hyperlink>
    </w:p>
    <w:p w14:paraId="257519DD" w14:textId="05EC9BE5" w:rsidR="00CD290C" w:rsidRDefault="00384EBE">
      <w:pPr>
        <w:pStyle w:val="TableofFigures"/>
        <w:tabs>
          <w:tab w:val="right" w:leader="dot" w:pos="9607"/>
        </w:tabs>
        <w:rPr>
          <w:rFonts w:asciiTheme="minorHAnsi" w:hAnsiTheme="minorHAnsi"/>
          <w:noProof/>
          <w:color w:val="auto"/>
          <w:lang w:eastAsia="hr-HR"/>
        </w:rPr>
      </w:pPr>
      <w:hyperlink w:anchor="_Toc130809257" w:history="1">
        <w:r w:rsidR="00CD290C" w:rsidRPr="008D0F4A">
          <w:rPr>
            <w:rStyle w:val="Hyperlink"/>
            <w:rFonts w:ascii="Times New Roman" w:hAnsi="Times New Roman" w:cs="Times New Roman"/>
            <w:noProof/>
          </w:rPr>
          <w:t>Tablica 2 – Smjernice ograničenja, omjera i vrsta imovine za 2023. godinu</w:t>
        </w:r>
        <w:r w:rsidR="00CD290C">
          <w:rPr>
            <w:noProof/>
            <w:webHidden/>
          </w:rPr>
          <w:tab/>
        </w:r>
        <w:r w:rsidR="00CD290C">
          <w:rPr>
            <w:noProof/>
            <w:webHidden/>
          </w:rPr>
          <w:fldChar w:fldCharType="begin"/>
        </w:r>
        <w:r w:rsidR="00CD290C">
          <w:rPr>
            <w:noProof/>
            <w:webHidden/>
          </w:rPr>
          <w:instrText xml:space="preserve"> PAGEREF _Toc130809257 \h </w:instrText>
        </w:r>
        <w:r w:rsidR="00CD290C">
          <w:rPr>
            <w:noProof/>
            <w:webHidden/>
          </w:rPr>
        </w:r>
        <w:r w:rsidR="00CD290C">
          <w:rPr>
            <w:noProof/>
            <w:webHidden/>
          </w:rPr>
          <w:fldChar w:fldCharType="separate"/>
        </w:r>
        <w:r w:rsidR="00CD290C">
          <w:rPr>
            <w:noProof/>
            <w:webHidden/>
          </w:rPr>
          <w:t>22</w:t>
        </w:r>
        <w:r w:rsidR="00CD290C">
          <w:rPr>
            <w:noProof/>
            <w:webHidden/>
          </w:rPr>
          <w:fldChar w:fldCharType="end"/>
        </w:r>
      </w:hyperlink>
    </w:p>
    <w:p w14:paraId="186E07F5" w14:textId="21660415" w:rsidR="00CD290C" w:rsidRDefault="00384EBE">
      <w:pPr>
        <w:pStyle w:val="TableofFigures"/>
        <w:tabs>
          <w:tab w:val="right" w:leader="dot" w:pos="9607"/>
        </w:tabs>
        <w:rPr>
          <w:rFonts w:asciiTheme="minorHAnsi" w:hAnsiTheme="minorHAnsi"/>
          <w:noProof/>
          <w:color w:val="auto"/>
          <w:lang w:eastAsia="hr-HR"/>
        </w:rPr>
      </w:pPr>
      <w:hyperlink w:anchor="_Toc130809258" w:history="1">
        <w:r w:rsidR="00CD290C" w:rsidRPr="008D0F4A">
          <w:rPr>
            <w:rStyle w:val="Hyperlink"/>
            <w:rFonts w:ascii="Times New Roman" w:hAnsi="Times New Roman" w:cs="Times New Roman"/>
            <w:noProof/>
          </w:rPr>
          <w:t>Tablica 3 – Alokacija imovine za 2023. godinu (u mil. EUR)</w:t>
        </w:r>
        <w:r w:rsidR="00CD290C">
          <w:rPr>
            <w:noProof/>
            <w:webHidden/>
          </w:rPr>
          <w:tab/>
        </w:r>
        <w:r w:rsidR="00CD290C">
          <w:rPr>
            <w:noProof/>
            <w:webHidden/>
          </w:rPr>
          <w:fldChar w:fldCharType="begin"/>
        </w:r>
        <w:r w:rsidR="00CD290C">
          <w:rPr>
            <w:noProof/>
            <w:webHidden/>
          </w:rPr>
          <w:instrText xml:space="preserve"> PAGEREF _Toc130809258 \h </w:instrText>
        </w:r>
        <w:r w:rsidR="00CD290C">
          <w:rPr>
            <w:noProof/>
            <w:webHidden/>
          </w:rPr>
        </w:r>
        <w:r w:rsidR="00CD290C">
          <w:rPr>
            <w:noProof/>
            <w:webHidden/>
          </w:rPr>
          <w:fldChar w:fldCharType="separate"/>
        </w:r>
        <w:r w:rsidR="00CD290C">
          <w:rPr>
            <w:noProof/>
            <w:webHidden/>
          </w:rPr>
          <w:t>23</w:t>
        </w:r>
        <w:r w:rsidR="00CD290C">
          <w:rPr>
            <w:noProof/>
            <w:webHidden/>
          </w:rPr>
          <w:fldChar w:fldCharType="end"/>
        </w:r>
      </w:hyperlink>
    </w:p>
    <w:p w14:paraId="5033FF38" w14:textId="0C2D2D9D" w:rsidR="00CD290C" w:rsidRDefault="00384EBE">
      <w:pPr>
        <w:pStyle w:val="TableofFigures"/>
        <w:tabs>
          <w:tab w:val="right" w:leader="dot" w:pos="9607"/>
        </w:tabs>
        <w:rPr>
          <w:rFonts w:asciiTheme="minorHAnsi" w:hAnsiTheme="minorHAnsi"/>
          <w:noProof/>
          <w:color w:val="auto"/>
          <w:lang w:eastAsia="hr-HR"/>
        </w:rPr>
      </w:pPr>
      <w:hyperlink w:anchor="_Toc130809259" w:history="1">
        <w:r w:rsidR="00CD290C" w:rsidRPr="008D0F4A">
          <w:rPr>
            <w:rStyle w:val="Hyperlink"/>
            <w:rFonts w:ascii="Times New Roman" w:hAnsi="Times New Roman" w:cs="Times New Roman"/>
            <w:noProof/>
          </w:rPr>
          <w:t>Tablica 4 - Financijski prihodi i rashodi</w:t>
        </w:r>
        <w:r w:rsidR="00CD290C">
          <w:rPr>
            <w:noProof/>
            <w:webHidden/>
          </w:rPr>
          <w:tab/>
        </w:r>
        <w:r w:rsidR="00CD290C">
          <w:rPr>
            <w:noProof/>
            <w:webHidden/>
          </w:rPr>
          <w:fldChar w:fldCharType="begin"/>
        </w:r>
        <w:r w:rsidR="00CD290C">
          <w:rPr>
            <w:noProof/>
            <w:webHidden/>
          </w:rPr>
          <w:instrText xml:space="preserve"> PAGEREF _Toc130809259 \h </w:instrText>
        </w:r>
        <w:r w:rsidR="00CD290C">
          <w:rPr>
            <w:noProof/>
            <w:webHidden/>
          </w:rPr>
        </w:r>
        <w:r w:rsidR="00CD290C">
          <w:rPr>
            <w:noProof/>
            <w:webHidden/>
          </w:rPr>
          <w:fldChar w:fldCharType="separate"/>
        </w:r>
        <w:r w:rsidR="00CD290C">
          <w:rPr>
            <w:noProof/>
            <w:webHidden/>
          </w:rPr>
          <w:t>24</w:t>
        </w:r>
        <w:r w:rsidR="00CD290C">
          <w:rPr>
            <w:noProof/>
            <w:webHidden/>
          </w:rPr>
          <w:fldChar w:fldCharType="end"/>
        </w:r>
      </w:hyperlink>
    </w:p>
    <w:p w14:paraId="75D2F08A" w14:textId="7191F655" w:rsidR="00CD290C" w:rsidRDefault="00384EBE">
      <w:pPr>
        <w:pStyle w:val="TableofFigures"/>
        <w:tabs>
          <w:tab w:val="right" w:leader="dot" w:pos="9607"/>
        </w:tabs>
        <w:rPr>
          <w:rFonts w:asciiTheme="minorHAnsi" w:hAnsiTheme="minorHAnsi"/>
          <w:noProof/>
          <w:color w:val="auto"/>
          <w:lang w:eastAsia="hr-HR"/>
        </w:rPr>
      </w:pPr>
      <w:hyperlink w:anchor="_Toc130809260" w:history="1">
        <w:r w:rsidR="00CD290C" w:rsidRPr="008D0F4A">
          <w:rPr>
            <w:rStyle w:val="Hyperlink"/>
            <w:rFonts w:ascii="Times New Roman" w:hAnsi="Times New Roman" w:cs="Times New Roman"/>
            <w:noProof/>
          </w:rPr>
          <w:t>Tablica 5 - RAO i ostali rashodi</w:t>
        </w:r>
        <w:r w:rsidR="00CD290C">
          <w:rPr>
            <w:noProof/>
            <w:webHidden/>
          </w:rPr>
          <w:tab/>
        </w:r>
        <w:r w:rsidR="00CD290C">
          <w:rPr>
            <w:noProof/>
            <w:webHidden/>
          </w:rPr>
          <w:fldChar w:fldCharType="begin"/>
        </w:r>
        <w:r w:rsidR="00CD290C">
          <w:rPr>
            <w:noProof/>
            <w:webHidden/>
          </w:rPr>
          <w:instrText xml:space="preserve"> PAGEREF _Toc130809260 \h </w:instrText>
        </w:r>
        <w:r w:rsidR="00CD290C">
          <w:rPr>
            <w:noProof/>
            <w:webHidden/>
          </w:rPr>
        </w:r>
        <w:r w:rsidR="00CD290C">
          <w:rPr>
            <w:noProof/>
            <w:webHidden/>
          </w:rPr>
          <w:fldChar w:fldCharType="separate"/>
        </w:r>
        <w:r w:rsidR="00CD290C">
          <w:rPr>
            <w:noProof/>
            <w:webHidden/>
          </w:rPr>
          <w:t>26</w:t>
        </w:r>
        <w:r w:rsidR="00CD290C">
          <w:rPr>
            <w:noProof/>
            <w:webHidden/>
          </w:rPr>
          <w:fldChar w:fldCharType="end"/>
        </w:r>
      </w:hyperlink>
    </w:p>
    <w:p w14:paraId="3862DF3C" w14:textId="78253F3A" w:rsidR="00CD290C" w:rsidRDefault="00384EBE">
      <w:pPr>
        <w:pStyle w:val="TableofFigures"/>
        <w:tabs>
          <w:tab w:val="right" w:leader="dot" w:pos="9607"/>
        </w:tabs>
        <w:rPr>
          <w:rFonts w:asciiTheme="minorHAnsi" w:hAnsiTheme="minorHAnsi"/>
          <w:noProof/>
          <w:color w:val="auto"/>
          <w:lang w:eastAsia="hr-HR"/>
        </w:rPr>
      </w:pPr>
      <w:hyperlink w:anchor="_Toc130809261" w:history="1">
        <w:r w:rsidR="00CD290C" w:rsidRPr="008D0F4A">
          <w:rPr>
            <w:rStyle w:val="Hyperlink"/>
            <w:rFonts w:ascii="Times New Roman" w:hAnsi="Times New Roman" w:cs="Times New Roman"/>
            <w:noProof/>
          </w:rPr>
          <w:t>Tablica 6 - Neto rezultat</w:t>
        </w:r>
        <w:r w:rsidR="00CD290C">
          <w:rPr>
            <w:noProof/>
            <w:webHidden/>
          </w:rPr>
          <w:tab/>
        </w:r>
        <w:r w:rsidR="00CD290C">
          <w:rPr>
            <w:noProof/>
            <w:webHidden/>
          </w:rPr>
          <w:fldChar w:fldCharType="begin"/>
        </w:r>
        <w:r w:rsidR="00CD290C">
          <w:rPr>
            <w:noProof/>
            <w:webHidden/>
          </w:rPr>
          <w:instrText xml:space="preserve"> PAGEREF _Toc130809261 \h </w:instrText>
        </w:r>
        <w:r w:rsidR="00CD290C">
          <w:rPr>
            <w:noProof/>
            <w:webHidden/>
          </w:rPr>
        </w:r>
        <w:r w:rsidR="00CD290C">
          <w:rPr>
            <w:noProof/>
            <w:webHidden/>
          </w:rPr>
          <w:fldChar w:fldCharType="separate"/>
        </w:r>
        <w:r w:rsidR="00CD290C">
          <w:rPr>
            <w:noProof/>
            <w:webHidden/>
          </w:rPr>
          <w:t>27</w:t>
        </w:r>
        <w:r w:rsidR="00CD290C">
          <w:rPr>
            <w:noProof/>
            <w:webHidden/>
          </w:rPr>
          <w:fldChar w:fldCharType="end"/>
        </w:r>
      </w:hyperlink>
    </w:p>
    <w:p w14:paraId="441AD970" w14:textId="04F4B6AA" w:rsidR="00CD290C" w:rsidRDefault="00384EBE">
      <w:pPr>
        <w:pStyle w:val="TableofFigures"/>
        <w:tabs>
          <w:tab w:val="right" w:leader="dot" w:pos="9607"/>
        </w:tabs>
        <w:rPr>
          <w:rFonts w:asciiTheme="minorHAnsi" w:hAnsiTheme="minorHAnsi"/>
          <w:noProof/>
          <w:color w:val="auto"/>
          <w:lang w:eastAsia="hr-HR"/>
        </w:rPr>
      </w:pPr>
      <w:hyperlink w:anchor="_Toc130809262" w:history="1">
        <w:r w:rsidR="00CD290C" w:rsidRPr="008D0F4A">
          <w:rPr>
            <w:rStyle w:val="Hyperlink"/>
            <w:rFonts w:ascii="Times New Roman" w:hAnsi="Times New Roman" w:cs="Times New Roman"/>
            <w:noProof/>
          </w:rPr>
          <w:t>Tablica 7 - Ulaganje u dugotrajnu imovinu</w:t>
        </w:r>
        <w:r w:rsidR="00CD290C">
          <w:rPr>
            <w:noProof/>
            <w:webHidden/>
          </w:rPr>
          <w:tab/>
        </w:r>
        <w:r w:rsidR="00CD290C">
          <w:rPr>
            <w:noProof/>
            <w:webHidden/>
          </w:rPr>
          <w:fldChar w:fldCharType="begin"/>
        </w:r>
        <w:r w:rsidR="00CD290C">
          <w:rPr>
            <w:noProof/>
            <w:webHidden/>
          </w:rPr>
          <w:instrText xml:space="preserve"> PAGEREF _Toc130809262 \h </w:instrText>
        </w:r>
        <w:r w:rsidR="00CD290C">
          <w:rPr>
            <w:noProof/>
            <w:webHidden/>
          </w:rPr>
        </w:r>
        <w:r w:rsidR="00CD290C">
          <w:rPr>
            <w:noProof/>
            <w:webHidden/>
          </w:rPr>
          <w:fldChar w:fldCharType="separate"/>
        </w:r>
        <w:r w:rsidR="00CD290C">
          <w:rPr>
            <w:noProof/>
            <w:webHidden/>
          </w:rPr>
          <w:t>28</w:t>
        </w:r>
        <w:r w:rsidR="00CD290C">
          <w:rPr>
            <w:noProof/>
            <w:webHidden/>
          </w:rPr>
          <w:fldChar w:fldCharType="end"/>
        </w:r>
      </w:hyperlink>
    </w:p>
    <w:p w14:paraId="54D50ABC" w14:textId="0B6C730A" w:rsidR="00931C4C" w:rsidRPr="003A6D7B" w:rsidRDefault="00931C4C" w:rsidP="00931C4C">
      <w:pPr>
        <w:rPr>
          <w:rFonts w:ascii="Times New Roman" w:hAnsi="Times New Roman" w:cs="Times New Roman"/>
        </w:rPr>
      </w:pPr>
      <w:r w:rsidRPr="003A6D7B">
        <w:rPr>
          <w:rFonts w:ascii="Times New Roman" w:hAnsi="Times New Roman" w:cs="Times New Roman"/>
          <w:sz w:val="24"/>
          <w:szCs w:val="24"/>
        </w:rPr>
        <w:fldChar w:fldCharType="end"/>
      </w:r>
    </w:p>
    <w:p w14:paraId="10B45EB3" w14:textId="77777777" w:rsidR="00931C4C" w:rsidRPr="003A6D7B" w:rsidRDefault="00931C4C" w:rsidP="00931C4C">
      <w:pPr>
        <w:rPr>
          <w:rFonts w:ascii="Times New Roman" w:hAnsi="Times New Roman" w:cs="Times New Roman"/>
        </w:rPr>
      </w:pPr>
    </w:p>
    <w:sectPr w:rsidR="00931C4C" w:rsidRPr="003A6D7B" w:rsidSect="00F651F1">
      <w:headerReference w:type="default" r:id="rId21"/>
      <w:footerReference w:type="default" r:id="rId22"/>
      <w:headerReference w:type="first" r:id="rId23"/>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B65F0" w14:textId="77777777" w:rsidR="00536518" w:rsidRDefault="00536518" w:rsidP="00F54F1F">
      <w:pPr>
        <w:spacing w:after="0" w:line="240" w:lineRule="auto"/>
      </w:pPr>
      <w:r>
        <w:separator/>
      </w:r>
    </w:p>
  </w:endnote>
  <w:endnote w:type="continuationSeparator" w:id="0">
    <w:p w14:paraId="72FA1B6E" w14:textId="77777777" w:rsidR="00536518" w:rsidRDefault="00536518" w:rsidP="00F5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EE"/>
    <w:family w:val="auto"/>
    <w:pitch w:val="variable"/>
    <w:sig w:usb0="00000001"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Montserrat Regular">
    <w:altName w:val="Calibri"/>
    <w:charset w:val="00"/>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Montserrat Light">
    <w:altName w:val="Courier New"/>
    <w:charset w:val="00"/>
    <w:family w:val="auto"/>
    <w:pitch w:val="variable"/>
    <w:sig w:usb0="2000020F" w:usb1="00000003" w:usb2="00000000" w:usb3="00000000" w:csb0="00000197"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
      <w:tblW w:w="9639" w:type="dxa"/>
      <w:tblBorders>
        <w:top w:val="single" w:sz="4" w:space="0" w:color="646668"/>
        <w:bottom w:val="none" w:sz="0" w:space="0" w:color="auto"/>
      </w:tblBorders>
      <w:tblCellMar>
        <w:top w:w="198" w:type="dxa"/>
        <w:left w:w="0" w:type="dxa"/>
        <w:right w:w="0" w:type="dxa"/>
      </w:tblCellMar>
      <w:tblLook w:val="04A0" w:firstRow="1" w:lastRow="0" w:firstColumn="1" w:lastColumn="0" w:noHBand="0" w:noVBand="1"/>
    </w:tblPr>
    <w:tblGrid>
      <w:gridCol w:w="8081"/>
      <w:gridCol w:w="1558"/>
    </w:tblGrid>
    <w:tr w:rsidR="00F54F1F" w:rsidRPr="00BF3AB0" w14:paraId="1BA587C1" w14:textId="77777777" w:rsidTr="00F54F1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cBorders>
          <w:vAlign w:val="center"/>
        </w:tcPr>
        <w:p w14:paraId="552204D7" w14:textId="6B590B1E" w:rsidR="005602C2" w:rsidRPr="005602C2" w:rsidRDefault="00F85BE6" w:rsidP="00F54F1F">
          <w:pPr>
            <w:pStyle w:val="Malinaslovopisa"/>
            <w:spacing w:line="240" w:lineRule="auto"/>
            <w:ind w:right="0"/>
            <w:rPr>
              <w:rFonts w:ascii="Montserrat Light" w:hAnsi="Montserrat Light"/>
              <w:b w:val="0"/>
              <w:bCs w:val="0"/>
              <w:caps/>
              <w:spacing w:val="30"/>
              <w:sz w:val="18"/>
              <w:szCs w:val="18"/>
            </w:rPr>
          </w:pPr>
          <w:r>
            <w:rPr>
              <w:rStyle w:val="SubtleEmphasis"/>
            </w:rPr>
            <w:t>Program rada i financijski plan fonda za 202</w:t>
          </w:r>
          <w:r w:rsidR="00CA5062">
            <w:rPr>
              <w:rStyle w:val="SubtleEmphasis"/>
            </w:rPr>
            <w:t>3</w:t>
          </w:r>
          <w:r>
            <w:rPr>
              <w:rStyle w:val="SubtleEmphasis"/>
            </w:rPr>
            <w:t>.</w:t>
          </w:r>
        </w:p>
      </w:tc>
      <w:tc>
        <w:tcPr>
          <w:tcW w:w="1531" w:type="dxa"/>
          <w:tcBorders>
            <w:top w:val="none" w:sz="0" w:space="0" w:color="auto"/>
            <w:left w:val="none" w:sz="0" w:space="0" w:color="auto"/>
            <w:bottom w:val="none" w:sz="0" w:space="0" w:color="auto"/>
            <w:right w:val="none" w:sz="0" w:space="0" w:color="auto"/>
          </w:tcBorders>
          <w:vAlign w:val="center"/>
        </w:tcPr>
        <w:p w14:paraId="15208546" w14:textId="76F27845" w:rsidR="00F54F1F" w:rsidRPr="00BF3AB0" w:rsidRDefault="00F54F1F" w:rsidP="00F54F1F">
          <w:pPr>
            <w:pStyle w:val="Malinaslovopisa"/>
            <w:spacing w:line="240" w:lineRule="auto"/>
            <w:ind w:right="0"/>
            <w:jc w:val="right"/>
            <w:cnfStyle w:val="100000000000" w:firstRow="1" w:lastRow="0" w:firstColumn="0" w:lastColumn="0" w:oddVBand="0" w:evenVBand="0" w:oddHBand="0" w:evenHBand="0" w:firstRowFirstColumn="0" w:firstRowLastColumn="0" w:lastRowFirstColumn="0" w:lastRowLastColumn="0"/>
            <w:rPr>
              <w:rFonts w:ascii="Montserrat Light" w:hAnsi="Montserrat Light"/>
              <w:caps/>
              <w:spacing w:val="30"/>
              <w:sz w:val="18"/>
              <w:szCs w:val="18"/>
            </w:rPr>
          </w:pPr>
          <w:r>
            <w:rPr>
              <w:rStyle w:val="PageNumber"/>
            </w:rPr>
            <w:fldChar w:fldCharType="begin"/>
          </w:r>
          <w:r>
            <w:rPr>
              <w:rStyle w:val="PageNumber"/>
            </w:rPr>
            <w:instrText xml:space="preserve">PAGE  </w:instrText>
          </w:r>
          <w:r>
            <w:rPr>
              <w:rStyle w:val="PageNumber"/>
            </w:rPr>
            <w:fldChar w:fldCharType="separate"/>
          </w:r>
          <w:r w:rsidR="00384EBE">
            <w:rPr>
              <w:rStyle w:val="PageNumber"/>
              <w:noProof/>
            </w:rPr>
            <w:t>33</w:t>
          </w:r>
          <w:r>
            <w:rPr>
              <w:rStyle w:val="PageNumber"/>
            </w:rPr>
            <w:fldChar w:fldCharType="end"/>
          </w:r>
        </w:p>
      </w:tc>
    </w:tr>
  </w:tbl>
  <w:p w14:paraId="3C09AD2C" w14:textId="77777777" w:rsidR="00F54F1F" w:rsidRDefault="00F5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87E0C" w14:textId="77777777" w:rsidR="00536518" w:rsidRDefault="00536518" w:rsidP="00F54F1F">
      <w:pPr>
        <w:spacing w:after="0" w:line="240" w:lineRule="auto"/>
      </w:pPr>
      <w:r>
        <w:separator/>
      </w:r>
    </w:p>
  </w:footnote>
  <w:footnote w:type="continuationSeparator" w:id="0">
    <w:p w14:paraId="5213B639" w14:textId="77777777" w:rsidR="00536518" w:rsidRDefault="00536518" w:rsidP="00F5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
      <w:tblW w:w="9639" w:type="dxa"/>
      <w:tblBorders>
        <w:top w:val="none" w:sz="0" w:space="0" w:color="auto"/>
        <w:bottom w:val="single" w:sz="4" w:space="0" w:color="000000" w:themeColor="text1"/>
      </w:tblBorders>
      <w:tblCellMar>
        <w:left w:w="0" w:type="dxa"/>
        <w:bottom w:w="198" w:type="dxa"/>
        <w:right w:w="0" w:type="dxa"/>
      </w:tblCellMar>
      <w:tblLook w:val="04A0" w:firstRow="1" w:lastRow="0" w:firstColumn="1" w:lastColumn="0" w:noHBand="0" w:noVBand="1"/>
    </w:tblPr>
    <w:tblGrid>
      <w:gridCol w:w="1385"/>
      <w:gridCol w:w="8254"/>
    </w:tblGrid>
    <w:tr w:rsidR="00F54F1F" w:rsidRPr="00BF3AB0" w14:paraId="578EFBFD" w14:textId="77777777" w:rsidTr="00F54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vAlign w:val="center"/>
        </w:tcPr>
        <w:p w14:paraId="471B7C80" w14:textId="77777777" w:rsidR="00F54F1F" w:rsidRPr="00BF3AB0" w:rsidRDefault="00F54F1F" w:rsidP="00F54F1F">
          <w:pPr>
            <w:pStyle w:val="Header"/>
          </w:pPr>
          <w:bookmarkStart w:id="160" w:name="_Hlk75951884"/>
          <w:r w:rsidRPr="00BF3AB0">
            <w:rPr>
              <w:noProof/>
              <w:lang w:eastAsia="hr-HR"/>
            </w:rPr>
            <w:drawing>
              <wp:inline distT="0" distB="0" distL="0" distR="0" wp14:anchorId="2365EC75" wp14:editId="182D0C4A">
                <wp:extent cx="569253" cy="569253"/>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53" cy="569453"/>
                        </a:xfrm>
                        <a:prstGeom prst="rect">
                          <a:avLst/>
                        </a:prstGeom>
                      </pic:spPr>
                    </pic:pic>
                  </a:graphicData>
                </a:graphic>
              </wp:inline>
            </w:drawing>
          </w:r>
        </w:p>
      </w:tc>
      <w:tc>
        <w:tcPr>
          <w:tcW w:w="8108" w:type="dxa"/>
          <w:tcBorders>
            <w:top w:val="none" w:sz="0" w:space="0" w:color="auto"/>
            <w:left w:val="none" w:sz="0" w:space="0" w:color="auto"/>
            <w:bottom w:val="none" w:sz="0" w:space="0" w:color="auto"/>
            <w:right w:val="none" w:sz="0" w:space="0" w:color="auto"/>
          </w:tcBorders>
          <w:vAlign w:val="center"/>
        </w:tcPr>
        <w:p w14:paraId="048403B5" w14:textId="77777777" w:rsidR="00F54F1F" w:rsidRPr="00BF3AB0" w:rsidRDefault="00F54F1F" w:rsidP="00F54F1F">
          <w:pPr>
            <w:pStyle w:val="Malinaslovopisa"/>
            <w:ind w:right="0"/>
            <w:cnfStyle w:val="100000000000" w:firstRow="1" w:lastRow="0" w:firstColumn="0" w:lastColumn="0" w:oddVBand="0" w:evenVBand="0" w:oddHBand="0" w:evenHBand="0" w:firstRowFirstColumn="0" w:firstRowLastColumn="0" w:lastRowFirstColumn="0" w:lastRowLastColumn="0"/>
            <w:rPr>
              <w:rFonts w:ascii="Montserrat Light" w:hAnsi="Montserrat Light"/>
              <w:caps/>
              <w:spacing w:val="30"/>
              <w:sz w:val="18"/>
              <w:szCs w:val="18"/>
            </w:rPr>
          </w:pPr>
          <w:r>
            <w:rPr>
              <w:rStyle w:val="SubtleEmphasis"/>
            </w:rPr>
            <w:t>FOND ZA FINANCIRANJE RAZGRADNJE NEK</w:t>
          </w:r>
        </w:p>
      </w:tc>
    </w:tr>
    <w:bookmarkEnd w:id="160"/>
  </w:tbl>
  <w:p w14:paraId="33A34D0B" w14:textId="77777777" w:rsidR="00F54F1F" w:rsidRDefault="00F5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B97E" w14:textId="77777777" w:rsidR="00F54F1F" w:rsidRPr="00FF3D79" w:rsidRDefault="00F54F1F" w:rsidP="00F54F1F">
    <w:pPr>
      <w:pStyle w:val="Malinaslovopisa"/>
      <w:ind w:right="0"/>
      <w:rPr>
        <w:rStyle w:val="BookTitle"/>
        <w:b/>
        <w:bCs/>
        <w:spacing w:val="30"/>
        <w:sz w:val="18"/>
        <w:szCs w:val="18"/>
      </w:rPr>
    </w:pPr>
    <w:bookmarkStart w:id="161" w:name="_Hlk75951824"/>
    <w:bookmarkStart w:id="162" w:name="_Hlk75951825"/>
    <w:r w:rsidRPr="00FF3D79">
      <w:rPr>
        <w:rStyle w:val="SubtleEmphasis"/>
        <w:b/>
        <w:bCs/>
      </w:rPr>
      <w:t>FOND ZA FINANCIRANJE RAZGRADNJE NEK</w:t>
    </w:r>
    <w:bookmarkEnd w:id="161"/>
    <w:bookmarkEnd w:id="162"/>
  </w:p>
  <w:p w14:paraId="698C8976" w14:textId="77777777" w:rsidR="00F54F1F" w:rsidRDefault="00F5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0E9"/>
    <w:multiLevelType w:val="hybridMultilevel"/>
    <w:tmpl w:val="B00E79B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D9669D2"/>
    <w:multiLevelType w:val="hybridMultilevel"/>
    <w:tmpl w:val="0D4A20BC"/>
    <w:lvl w:ilvl="0" w:tplc="00644C0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65C6D19"/>
    <w:multiLevelType w:val="hybridMultilevel"/>
    <w:tmpl w:val="6066880E"/>
    <w:lvl w:ilvl="0" w:tplc="79AE8704">
      <w:start w:val="1"/>
      <w:numFmt w:val="bullet"/>
      <w:pStyle w:val="ListParagraph"/>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5DD3ABC"/>
    <w:multiLevelType w:val="hybridMultilevel"/>
    <w:tmpl w:val="F4C27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EDE4030"/>
    <w:multiLevelType w:val="hybridMultilevel"/>
    <w:tmpl w:val="70BAF09A"/>
    <w:lvl w:ilvl="0" w:tplc="041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40F59C1"/>
    <w:multiLevelType w:val="hybridMultilevel"/>
    <w:tmpl w:val="32E001BA"/>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6" w15:restartNumberingAfterBreak="0">
    <w:nsid w:val="71995180"/>
    <w:multiLevelType w:val="hybridMultilevel"/>
    <w:tmpl w:val="DA34A0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3C356B5"/>
    <w:multiLevelType w:val="hybridMultilevel"/>
    <w:tmpl w:val="4B8827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DC24335"/>
    <w:multiLevelType w:val="multilevel"/>
    <w:tmpl w:val="324295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0"/>
  </w:num>
  <w:num w:numId="3">
    <w:abstractNumId w:val="3"/>
  </w:num>
  <w:num w:numId="4">
    <w:abstractNumId w:val="2"/>
  </w:num>
  <w:num w:numId="5">
    <w:abstractNumId w:val="5"/>
  </w:num>
  <w:num w:numId="6">
    <w:abstractNumId w:val="2"/>
  </w:num>
  <w:num w:numId="7">
    <w:abstractNumId w:val="1"/>
  </w:num>
  <w:num w:numId="8">
    <w:abstractNumId w:val="8"/>
  </w:num>
  <w:num w:numId="9">
    <w:abstractNumId w:val="8"/>
  </w:num>
  <w:num w:numId="10">
    <w:abstractNumId w:val="4"/>
  </w:num>
  <w:num w:numId="11">
    <w:abstractNumId w:val="2"/>
  </w:num>
  <w:num w:numId="12">
    <w:abstractNumId w:val="7"/>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1F"/>
    <w:rsid w:val="00005591"/>
    <w:rsid w:val="0001496A"/>
    <w:rsid w:val="00037069"/>
    <w:rsid w:val="00044B78"/>
    <w:rsid w:val="00050A02"/>
    <w:rsid w:val="00075619"/>
    <w:rsid w:val="0008428D"/>
    <w:rsid w:val="000A01B4"/>
    <w:rsid w:val="000A4F64"/>
    <w:rsid w:val="000B24E3"/>
    <w:rsid w:val="000B3A24"/>
    <w:rsid w:val="000B6789"/>
    <w:rsid w:val="000C3CE7"/>
    <w:rsid w:val="000C48DC"/>
    <w:rsid w:val="000C66BD"/>
    <w:rsid w:val="000D0E8D"/>
    <w:rsid w:val="000D61B2"/>
    <w:rsid w:val="000D6B65"/>
    <w:rsid w:val="000E17ED"/>
    <w:rsid w:val="000E33D3"/>
    <w:rsid w:val="000E44B6"/>
    <w:rsid w:val="000F05FD"/>
    <w:rsid w:val="000F33C9"/>
    <w:rsid w:val="000F6675"/>
    <w:rsid w:val="00124E09"/>
    <w:rsid w:val="001342D0"/>
    <w:rsid w:val="0014533F"/>
    <w:rsid w:val="001508BA"/>
    <w:rsid w:val="001510BC"/>
    <w:rsid w:val="00151424"/>
    <w:rsid w:val="0015372B"/>
    <w:rsid w:val="00153802"/>
    <w:rsid w:val="001655B3"/>
    <w:rsid w:val="00166B58"/>
    <w:rsid w:val="00170038"/>
    <w:rsid w:val="00170425"/>
    <w:rsid w:val="0018224D"/>
    <w:rsid w:val="00183951"/>
    <w:rsid w:val="00191311"/>
    <w:rsid w:val="0019455F"/>
    <w:rsid w:val="00195E7E"/>
    <w:rsid w:val="001A1480"/>
    <w:rsid w:val="001A3DF2"/>
    <w:rsid w:val="001B447A"/>
    <w:rsid w:val="001C0887"/>
    <w:rsid w:val="001C62E3"/>
    <w:rsid w:val="001C7BF5"/>
    <w:rsid w:val="001D05C4"/>
    <w:rsid w:val="001D3193"/>
    <w:rsid w:val="001D52E4"/>
    <w:rsid w:val="001D7CD8"/>
    <w:rsid w:val="001E5B93"/>
    <w:rsid w:val="001F0A7B"/>
    <w:rsid w:val="001F7FFB"/>
    <w:rsid w:val="00201A5E"/>
    <w:rsid w:val="002048B8"/>
    <w:rsid w:val="00205C1A"/>
    <w:rsid w:val="00220EAA"/>
    <w:rsid w:val="002227F3"/>
    <w:rsid w:val="00223C0F"/>
    <w:rsid w:val="00225920"/>
    <w:rsid w:val="0022693A"/>
    <w:rsid w:val="00230EED"/>
    <w:rsid w:val="002440AF"/>
    <w:rsid w:val="002541FA"/>
    <w:rsid w:val="00254610"/>
    <w:rsid w:val="002600D7"/>
    <w:rsid w:val="00274D60"/>
    <w:rsid w:val="00276C0E"/>
    <w:rsid w:val="0028475D"/>
    <w:rsid w:val="0029206B"/>
    <w:rsid w:val="002A1140"/>
    <w:rsid w:val="002A6002"/>
    <w:rsid w:val="002B5145"/>
    <w:rsid w:val="002B5658"/>
    <w:rsid w:val="002B576D"/>
    <w:rsid w:val="002B785C"/>
    <w:rsid w:val="002B7E30"/>
    <w:rsid w:val="002C0911"/>
    <w:rsid w:val="002C234B"/>
    <w:rsid w:val="002D17F5"/>
    <w:rsid w:val="002D28B7"/>
    <w:rsid w:val="002D5B0A"/>
    <w:rsid w:val="002E09F3"/>
    <w:rsid w:val="002E14D0"/>
    <w:rsid w:val="002E3FE4"/>
    <w:rsid w:val="002E4F34"/>
    <w:rsid w:val="00324B19"/>
    <w:rsid w:val="00333C5C"/>
    <w:rsid w:val="003470F8"/>
    <w:rsid w:val="003471A0"/>
    <w:rsid w:val="00352A0D"/>
    <w:rsid w:val="003530EA"/>
    <w:rsid w:val="003733F4"/>
    <w:rsid w:val="0037604E"/>
    <w:rsid w:val="003840EE"/>
    <w:rsid w:val="00384EBE"/>
    <w:rsid w:val="00387934"/>
    <w:rsid w:val="0039429C"/>
    <w:rsid w:val="00394A8E"/>
    <w:rsid w:val="00397D9C"/>
    <w:rsid w:val="003A23D6"/>
    <w:rsid w:val="003A5E19"/>
    <w:rsid w:val="003A6D7B"/>
    <w:rsid w:val="003B5660"/>
    <w:rsid w:val="003B702C"/>
    <w:rsid w:val="003B72DE"/>
    <w:rsid w:val="003D6060"/>
    <w:rsid w:val="003D6D30"/>
    <w:rsid w:val="003E58FB"/>
    <w:rsid w:val="003F18B0"/>
    <w:rsid w:val="00400A3D"/>
    <w:rsid w:val="0040292E"/>
    <w:rsid w:val="00406544"/>
    <w:rsid w:val="0043117D"/>
    <w:rsid w:val="004315DD"/>
    <w:rsid w:val="004478A0"/>
    <w:rsid w:val="00452FF0"/>
    <w:rsid w:val="004616F1"/>
    <w:rsid w:val="00464C6E"/>
    <w:rsid w:val="00473EE1"/>
    <w:rsid w:val="00474EE1"/>
    <w:rsid w:val="004754BE"/>
    <w:rsid w:val="00476052"/>
    <w:rsid w:val="004812D3"/>
    <w:rsid w:val="004850E4"/>
    <w:rsid w:val="00487769"/>
    <w:rsid w:val="004909CE"/>
    <w:rsid w:val="00491F8E"/>
    <w:rsid w:val="00497EFA"/>
    <w:rsid w:val="004A5A49"/>
    <w:rsid w:val="004A7DBF"/>
    <w:rsid w:val="004B0DB9"/>
    <w:rsid w:val="004B2E7F"/>
    <w:rsid w:val="004B47AF"/>
    <w:rsid w:val="004B4EBB"/>
    <w:rsid w:val="004B694E"/>
    <w:rsid w:val="004C0021"/>
    <w:rsid w:val="004D3913"/>
    <w:rsid w:val="004D51D1"/>
    <w:rsid w:val="004D6ABE"/>
    <w:rsid w:val="004F60F1"/>
    <w:rsid w:val="00504EC7"/>
    <w:rsid w:val="005070D5"/>
    <w:rsid w:val="00512D9B"/>
    <w:rsid w:val="00532E64"/>
    <w:rsid w:val="0053612E"/>
    <w:rsid w:val="00536518"/>
    <w:rsid w:val="00547BAD"/>
    <w:rsid w:val="005524D4"/>
    <w:rsid w:val="005602C2"/>
    <w:rsid w:val="00575C16"/>
    <w:rsid w:val="00585BFD"/>
    <w:rsid w:val="005872BC"/>
    <w:rsid w:val="005949FD"/>
    <w:rsid w:val="00597B9F"/>
    <w:rsid w:val="005A0125"/>
    <w:rsid w:val="005A29D7"/>
    <w:rsid w:val="005A7BFE"/>
    <w:rsid w:val="005D4393"/>
    <w:rsid w:val="005D4EFD"/>
    <w:rsid w:val="005E091D"/>
    <w:rsid w:val="005E3AA5"/>
    <w:rsid w:val="00613862"/>
    <w:rsid w:val="006140A3"/>
    <w:rsid w:val="00620198"/>
    <w:rsid w:val="0063143E"/>
    <w:rsid w:val="00633C20"/>
    <w:rsid w:val="00636F84"/>
    <w:rsid w:val="00686EE5"/>
    <w:rsid w:val="006907D4"/>
    <w:rsid w:val="0069235D"/>
    <w:rsid w:val="006B020A"/>
    <w:rsid w:val="006B093A"/>
    <w:rsid w:val="006B248C"/>
    <w:rsid w:val="006B7F45"/>
    <w:rsid w:val="006D091F"/>
    <w:rsid w:val="006D5B55"/>
    <w:rsid w:val="006E1182"/>
    <w:rsid w:val="006E1A9B"/>
    <w:rsid w:val="006E431F"/>
    <w:rsid w:val="006F035A"/>
    <w:rsid w:val="007219DF"/>
    <w:rsid w:val="00721C98"/>
    <w:rsid w:val="00723EBB"/>
    <w:rsid w:val="00732E36"/>
    <w:rsid w:val="00741DC7"/>
    <w:rsid w:val="0074392A"/>
    <w:rsid w:val="00751BE9"/>
    <w:rsid w:val="0076355A"/>
    <w:rsid w:val="00766F31"/>
    <w:rsid w:val="007769AF"/>
    <w:rsid w:val="00787A81"/>
    <w:rsid w:val="007973FE"/>
    <w:rsid w:val="007A1A69"/>
    <w:rsid w:val="007B2D7F"/>
    <w:rsid w:val="007B4F2C"/>
    <w:rsid w:val="007B7CC1"/>
    <w:rsid w:val="007C547A"/>
    <w:rsid w:val="007C7D0D"/>
    <w:rsid w:val="007D070A"/>
    <w:rsid w:val="007D3589"/>
    <w:rsid w:val="007D6C4F"/>
    <w:rsid w:val="007F0B9E"/>
    <w:rsid w:val="007F1164"/>
    <w:rsid w:val="007F6469"/>
    <w:rsid w:val="008040EF"/>
    <w:rsid w:val="008067F7"/>
    <w:rsid w:val="00815D00"/>
    <w:rsid w:val="00831E9A"/>
    <w:rsid w:val="00840753"/>
    <w:rsid w:val="00846909"/>
    <w:rsid w:val="008472BC"/>
    <w:rsid w:val="00862A0E"/>
    <w:rsid w:val="00870F94"/>
    <w:rsid w:val="008712C8"/>
    <w:rsid w:val="0088305D"/>
    <w:rsid w:val="00884D31"/>
    <w:rsid w:val="00885998"/>
    <w:rsid w:val="008A4539"/>
    <w:rsid w:val="008A6522"/>
    <w:rsid w:val="008B06FB"/>
    <w:rsid w:val="008B4D28"/>
    <w:rsid w:val="008C2B7F"/>
    <w:rsid w:val="008D02A9"/>
    <w:rsid w:val="008D0709"/>
    <w:rsid w:val="008F0A44"/>
    <w:rsid w:val="008F4CB1"/>
    <w:rsid w:val="008F5B18"/>
    <w:rsid w:val="00902811"/>
    <w:rsid w:val="00905AEA"/>
    <w:rsid w:val="00905D1D"/>
    <w:rsid w:val="00912DD0"/>
    <w:rsid w:val="009152C6"/>
    <w:rsid w:val="00922951"/>
    <w:rsid w:val="00925CC0"/>
    <w:rsid w:val="00931C4C"/>
    <w:rsid w:val="00933629"/>
    <w:rsid w:val="00941532"/>
    <w:rsid w:val="00943204"/>
    <w:rsid w:val="00950F13"/>
    <w:rsid w:val="00952571"/>
    <w:rsid w:val="009533C8"/>
    <w:rsid w:val="00955B28"/>
    <w:rsid w:val="0095764C"/>
    <w:rsid w:val="009623B1"/>
    <w:rsid w:val="00965A7A"/>
    <w:rsid w:val="0096676C"/>
    <w:rsid w:val="00984057"/>
    <w:rsid w:val="009840DE"/>
    <w:rsid w:val="00993B9C"/>
    <w:rsid w:val="00994B7B"/>
    <w:rsid w:val="009A0A30"/>
    <w:rsid w:val="009A310F"/>
    <w:rsid w:val="009A7715"/>
    <w:rsid w:val="009B200A"/>
    <w:rsid w:val="009B3390"/>
    <w:rsid w:val="009B432A"/>
    <w:rsid w:val="009B58A3"/>
    <w:rsid w:val="009B5AFB"/>
    <w:rsid w:val="009C0556"/>
    <w:rsid w:val="009D0369"/>
    <w:rsid w:val="009D0DBE"/>
    <w:rsid w:val="009E1F2C"/>
    <w:rsid w:val="009F0A0A"/>
    <w:rsid w:val="009F5F52"/>
    <w:rsid w:val="009F71D3"/>
    <w:rsid w:val="00A00D04"/>
    <w:rsid w:val="00A019B8"/>
    <w:rsid w:val="00A01E59"/>
    <w:rsid w:val="00A061E9"/>
    <w:rsid w:val="00A11380"/>
    <w:rsid w:val="00A14FDB"/>
    <w:rsid w:val="00A24722"/>
    <w:rsid w:val="00A24ED5"/>
    <w:rsid w:val="00A45655"/>
    <w:rsid w:val="00A4575E"/>
    <w:rsid w:val="00A52BF8"/>
    <w:rsid w:val="00A5737E"/>
    <w:rsid w:val="00A60E0A"/>
    <w:rsid w:val="00A661BD"/>
    <w:rsid w:val="00A674EE"/>
    <w:rsid w:val="00A67CB3"/>
    <w:rsid w:val="00A75F60"/>
    <w:rsid w:val="00A82B42"/>
    <w:rsid w:val="00A8397F"/>
    <w:rsid w:val="00A8701A"/>
    <w:rsid w:val="00A932A1"/>
    <w:rsid w:val="00A93855"/>
    <w:rsid w:val="00AA2152"/>
    <w:rsid w:val="00AA4308"/>
    <w:rsid w:val="00AA454F"/>
    <w:rsid w:val="00AB1602"/>
    <w:rsid w:val="00AB5C20"/>
    <w:rsid w:val="00AD6FDC"/>
    <w:rsid w:val="00AD77D8"/>
    <w:rsid w:val="00AE5DD1"/>
    <w:rsid w:val="00AF4F25"/>
    <w:rsid w:val="00B04829"/>
    <w:rsid w:val="00B102D8"/>
    <w:rsid w:val="00B11A20"/>
    <w:rsid w:val="00B16479"/>
    <w:rsid w:val="00B21F53"/>
    <w:rsid w:val="00B41FFD"/>
    <w:rsid w:val="00B45187"/>
    <w:rsid w:val="00B61129"/>
    <w:rsid w:val="00B8306B"/>
    <w:rsid w:val="00B83D3E"/>
    <w:rsid w:val="00B85EBC"/>
    <w:rsid w:val="00B90DB6"/>
    <w:rsid w:val="00BA56FD"/>
    <w:rsid w:val="00BB17F8"/>
    <w:rsid w:val="00BB6092"/>
    <w:rsid w:val="00BC323E"/>
    <w:rsid w:val="00BC3521"/>
    <w:rsid w:val="00BC44FF"/>
    <w:rsid w:val="00BC46B2"/>
    <w:rsid w:val="00BC75D1"/>
    <w:rsid w:val="00BD5639"/>
    <w:rsid w:val="00BD5BE1"/>
    <w:rsid w:val="00BE3502"/>
    <w:rsid w:val="00BF14EF"/>
    <w:rsid w:val="00BF30CF"/>
    <w:rsid w:val="00BF745F"/>
    <w:rsid w:val="00BF7AFF"/>
    <w:rsid w:val="00C0029D"/>
    <w:rsid w:val="00C1629A"/>
    <w:rsid w:val="00C22D74"/>
    <w:rsid w:val="00C234D9"/>
    <w:rsid w:val="00C25D59"/>
    <w:rsid w:val="00C31C2F"/>
    <w:rsid w:val="00C42EE3"/>
    <w:rsid w:val="00C61194"/>
    <w:rsid w:val="00C75CBE"/>
    <w:rsid w:val="00C90ECC"/>
    <w:rsid w:val="00CA34CF"/>
    <w:rsid w:val="00CA40D5"/>
    <w:rsid w:val="00CA5062"/>
    <w:rsid w:val="00CB21D9"/>
    <w:rsid w:val="00CC71A6"/>
    <w:rsid w:val="00CD0380"/>
    <w:rsid w:val="00CD290C"/>
    <w:rsid w:val="00CD5886"/>
    <w:rsid w:val="00CD7B5C"/>
    <w:rsid w:val="00CF4779"/>
    <w:rsid w:val="00CF6D91"/>
    <w:rsid w:val="00D0135F"/>
    <w:rsid w:val="00D01B5D"/>
    <w:rsid w:val="00D03CC8"/>
    <w:rsid w:val="00D03EE0"/>
    <w:rsid w:val="00D12728"/>
    <w:rsid w:val="00D2196C"/>
    <w:rsid w:val="00D21C50"/>
    <w:rsid w:val="00D268EC"/>
    <w:rsid w:val="00D336C8"/>
    <w:rsid w:val="00D44173"/>
    <w:rsid w:val="00D57143"/>
    <w:rsid w:val="00D57753"/>
    <w:rsid w:val="00D67D4E"/>
    <w:rsid w:val="00D71B2E"/>
    <w:rsid w:val="00D72FF8"/>
    <w:rsid w:val="00D82EEB"/>
    <w:rsid w:val="00D87060"/>
    <w:rsid w:val="00D979C8"/>
    <w:rsid w:val="00DA6E24"/>
    <w:rsid w:val="00DB56A7"/>
    <w:rsid w:val="00DC42FC"/>
    <w:rsid w:val="00DC504A"/>
    <w:rsid w:val="00DD12BA"/>
    <w:rsid w:val="00DD177A"/>
    <w:rsid w:val="00DE287E"/>
    <w:rsid w:val="00DE3623"/>
    <w:rsid w:val="00DE655A"/>
    <w:rsid w:val="00DF0751"/>
    <w:rsid w:val="00DF2A2B"/>
    <w:rsid w:val="00E02978"/>
    <w:rsid w:val="00E0571A"/>
    <w:rsid w:val="00E05758"/>
    <w:rsid w:val="00E174A3"/>
    <w:rsid w:val="00E2328F"/>
    <w:rsid w:val="00E25758"/>
    <w:rsid w:val="00E40966"/>
    <w:rsid w:val="00E42CBB"/>
    <w:rsid w:val="00E45E39"/>
    <w:rsid w:val="00E5398A"/>
    <w:rsid w:val="00E6485A"/>
    <w:rsid w:val="00E66D18"/>
    <w:rsid w:val="00E7107F"/>
    <w:rsid w:val="00E87E99"/>
    <w:rsid w:val="00E92266"/>
    <w:rsid w:val="00E9660C"/>
    <w:rsid w:val="00EA2BA2"/>
    <w:rsid w:val="00EA71FA"/>
    <w:rsid w:val="00EB18D7"/>
    <w:rsid w:val="00EB5394"/>
    <w:rsid w:val="00EC10EC"/>
    <w:rsid w:val="00EC5944"/>
    <w:rsid w:val="00ED34B1"/>
    <w:rsid w:val="00ED35FD"/>
    <w:rsid w:val="00ED4D76"/>
    <w:rsid w:val="00ED6D0D"/>
    <w:rsid w:val="00EF1A98"/>
    <w:rsid w:val="00F11480"/>
    <w:rsid w:val="00F26EF2"/>
    <w:rsid w:val="00F34686"/>
    <w:rsid w:val="00F51AC9"/>
    <w:rsid w:val="00F5299B"/>
    <w:rsid w:val="00F54F1F"/>
    <w:rsid w:val="00F56418"/>
    <w:rsid w:val="00F651F1"/>
    <w:rsid w:val="00F6573C"/>
    <w:rsid w:val="00F660FA"/>
    <w:rsid w:val="00F7041C"/>
    <w:rsid w:val="00F77A26"/>
    <w:rsid w:val="00F80B14"/>
    <w:rsid w:val="00F85770"/>
    <w:rsid w:val="00F85BE6"/>
    <w:rsid w:val="00F92D60"/>
    <w:rsid w:val="00FA2FE5"/>
    <w:rsid w:val="00FA3300"/>
    <w:rsid w:val="00FB1AC2"/>
    <w:rsid w:val="00FB4D3B"/>
    <w:rsid w:val="00FB6465"/>
    <w:rsid w:val="00FC589C"/>
    <w:rsid w:val="00FD665E"/>
    <w:rsid w:val="00FD6DE6"/>
    <w:rsid w:val="00FE073F"/>
    <w:rsid w:val="00FE0AAD"/>
    <w:rsid w:val="00FE373E"/>
    <w:rsid w:val="00FF25E5"/>
    <w:rsid w:val="00FF2BD4"/>
    <w:rsid w:val="00FF69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5C7B"/>
  <w15:chartTrackingRefBased/>
  <w15:docId w15:val="{3FEA855E-CA84-45CC-9B14-706B7F4E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Theme="minorHAnsi" w:hAnsi="Montserrat" w:cstheme="minorBidi"/>
        <w:szCs w:val="22"/>
        <w:lang w:val="hr-H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E6"/>
    <w:pPr>
      <w:spacing w:after="120"/>
      <w:jc w:val="both"/>
    </w:pPr>
    <w:rPr>
      <w:rFonts w:ascii="Montserrat Regular" w:eastAsiaTheme="minorEastAsia" w:hAnsi="Montserrat Regular"/>
      <w:color w:val="000000" w:themeColor="text1"/>
      <w:sz w:val="22"/>
    </w:rPr>
  </w:style>
  <w:style w:type="paragraph" w:styleId="Heading1">
    <w:name w:val="heading 1"/>
    <w:basedOn w:val="NASLOV01"/>
    <w:next w:val="Normal"/>
    <w:link w:val="Heading1Char"/>
    <w:autoRedefine/>
    <w:qFormat/>
    <w:rsid w:val="00AF4F25"/>
    <w:pPr>
      <w:numPr>
        <w:numId w:val="1"/>
      </w:numPr>
      <w:spacing w:after="360"/>
      <w:jc w:val="left"/>
      <w:outlineLvl w:val="0"/>
    </w:pPr>
    <w:rPr>
      <w:rFonts w:ascii="Times New Roman" w:hAnsi="Times New Roman" w:cs="Times New Roman"/>
      <w:sz w:val="44"/>
      <w:szCs w:val="56"/>
    </w:rPr>
  </w:style>
  <w:style w:type="paragraph" w:styleId="Heading2">
    <w:name w:val="heading 2"/>
    <w:basedOn w:val="Normal"/>
    <w:next w:val="Normal"/>
    <w:link w:val="Heading2Char"/>
    <w:uiPriority w:val="9"/>
    <w:unhideWhenUsed/>
    <w:qFormat/>
    <w:rsid w:val="00741DC7"/>
    <w:pPr>
      <w:keepNext/>
      <w:keepLines/>
      <w:numPr>
        <w:ilvl w:val="1"/>
        <w:numId w:val="1"/>
      </w:numPr>
      <w:spacing w:before="40" w:after="240" w:line="240" w:lineRule="auto"/>
      <w:outlineLvl w:val="1"/>
    </w:pPr>
    <w:rPr>
      <w:rFonts w:ascii="Montserrat" w:eastAsiaTheme="majorEastAsia" w:hAnsi="Montserrat" w:cstheme="majorBidi"/>
      <w:color w:val="646668"/>
      <w:sz w:val="36"/>
      <w:szCs w:val="26"/>
    </w:rPr>
  </w:style>
  <w:style w:type="paragraph" w:styleId="Heading3">
    <w:name w:val="heading 3"/>
    <w:basedOn w:val="Normal"/>
    <w:next w:val="Normal"/>
    <w:link w:val="Heading3Char"/>
    <w:uiPriority w:val="9"/>
    <w:unhideWhenUsed/>
    <w:qFormat/>
    <w:rsid w:val="003A23D6"/>
    <w:pPr>
      <w:keepNext/>
      <w:keepLines/>
      <w:numPr>
        <w:ilvl w:val="2"/>
        <w:numId w:val="1"/>
      </w:numPr>
      <w:spacing w:before="40" w:after="0"/>
      <w:ind w:left="1571"/>
      <w:outlineLvl w:val="2"/>
    </w:pPr>
    <w:rPr>
      <w:rFonts w:ascii="Montserrat" w:eastAsiaTheme="majorEastAsia" w:hAnsi="Montserrat" w:cstheme="majorBidi"/>
      <w:color w:val="646668"/>
      <w:sz w:val="24"/>
      <w:szCs w:val="24"/>
    </w:rPr>
  </w:style>
  <w:style w:type="paragraph" w:styleId="Heading4">
    <w:name w:val="heading 4"/>
    <w:basedOn w:val="Normal"/>
    <w:next w:val="Normal"/>
    <w:link w:val="Heading4Char"/>
    <w:uiPriority w:val="9"/>
    <w:semiHidden/>
    <w:unhideWhenUsed/>
    <w:qFormat/>
    <w:rsid w:val="001C088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88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088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088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088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088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F1F"/>
    <w:pPr>
      <w:tabs>
        <w:tab w:val="center" w:pos="4513"/>
        <w:tab w:val="right" w:pos="9026"/>
      </w:tabs>
      <w:spacing w:after="0" w:line="240" w:lineRule="auto"/>
    </w:pPr>
  </w:style>
  <w:style w:type="character" w:customStyle="1" w:styleId="HeaderChar">
    <w:name w:val="Header Char"/>
    <w:basedOn w:val="DefaultParagraphFont"/>
    <w:link w:val="Header"/>
    <w:rsid w:val="00F54F1F"/>
  </w:style>
  <w:style w:type="paragraph" w:styleId="Footer">
    <w:name w:val="footer"/>
    <w:basedOn w:val="Normal"/>
    <w:link w:val="FooterChar"/>
    <w:uiPriority w:val="99"/>
    <w:unhideWhenUsed/>
    <w:rsid w:val="00F5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F1F"/>
  </w:style>
  <w:style w:type="character" w:styleId="SubtleEmphasis">
    <w:name w:val="Subtle Emphasis"/>
    <w:uiPriority w:val="19"/>
    <w:qFormat/>
    <w:rsid w:val="00F54F1F"/>
    <w:rPr>
      <w:rFonts w:ascii="Montserrat Light" w:hAnsi="Montserrat Light"/>
      <w:b w:val="0"/>
      <w:bCs w:val="0"/>
      <w:i w:val="0"/>
      <w:iCs w:val="0"/>
      <w:caps/>
      <w:smallCaps w:val="0"/>
      <w:strike w:val="0"/>
      <w:dstrike w:val="0"/>
      <w:vanish w:val="0"/>
      <w:spacing w:val="30"/>
      <w:kern w:val="0"/>
      <w:sz w:val="18"/>
      <w:szCs w:val="18"/>
      <w:vertAlign w:val="baseline"/>
    </w:rPr>
  </w:style>
  <w:style w:type="character" w:styleId="BookTitle">
    <w:name w:val="Book Title"/>
    <w:uiPriority w:val="33"/>
    <w:qFormat/>
    <w:rsid w:val="00F54F1F"/>
    <w:rPr>
      <w:rFonts w:ascii="Montserrat Light" w:hAnsi="Montserrat Light"/>
      <w:i w:val="0"/>
      <w:iCs w:val="0"/>
      <w:caps/>
      <w:smallCaps w:val="0"/>
      <w:spacing w:val="5"/>
    </w:rPr>
  </w:style>
  <w:style w:type="paragraph" w:customStyle="1" w:styleId="Malinaslovopisa">
    <w:name w:val="Mali naslov opisa"/>
    <w:basedOn w:val="Normal"/>
    <w:qFormat/>
    <w:rsid w:val="00F54F1F"/>
    <w:pPr>
      <w:spacing w:after="0" w:line="264" w:lineRule="auto"/>
      <w:ind w:right="-198"/>
    </w:pPr>
    <w:rPr>
      <w:rFonts w:cstheme="minorHAnsi"/>
      <w:color w:val="595959" w:themeColor="text1" w:themeTint="A6"/>
    </w:rPr>
  </w:style>
  <w:style w:type="character" w:customStyle="1" w:styleId="Heading1Char">
    <w:name w:val="Heading 1 Char"/>
    <w:basedOn w:val="DefaultParagraphFont"/>
    <w:link w:val="Heading1"/>
    <w:rsid w:val="00AF4F25"/>
    <w:rPr>
      <w:rFonts w:ascii="Times New Roman" w:eastAsiaTheme="minorEastAsia" w:hAnsi="Times New Roman" w:cs="Times New Roman"/>
      <w:color w:val="595959" w:themeColor="text1" w:themeTint="A6"/>
      <w:sz w:val="44"/>
      <w:szCs w:val="56"/>
    </w:rPr>
  </w:style>
  <w:style w:type="paragraph" w:styleId="NoSpacing">
    <w:name w:val="No Spacing"/>
    <w:basedOn w:val="Normal"/>
    <w:link w:val="NoSpacingChar"/>
    <w:uiPriority w:val="1"/>
    <w:qFormat/>
    <w:rsid w:val="00F54F1F"/>
    <w:pPr>
      <w:spacing w:after="0" w:line="240" w:lineRule="auto"/>
    </w:pPr>
    <w:rPr>
      <w:b/>
      <w:spacing w:val="24"/>
      <w:sz w:val="26"/>
      <w:szCs w:val="24"/>
    </w:rPr>
  </w:style>
  <w:style w:type="character" w:customStyle="1" w:styleId="NoSpacingChar">
    <w:name w:val="No Spacing Char"/>
    <w:basedOn w:val="DefaultParagraphFont"/>
    <w:link w:val="NoSpacing"/>
    <w:uiPriority w:val="1"/>
    <w:rsid w:val="00F54F1F"/>
    <w:rPr>
      <w:rFonts w:ascii="Montserrat Regular" w:eastAsiaTheme="minorEastAsia" w:hAnsi="Montserrat Regular"/>
      <w:b/>
      <w:color w:val="7F7F7F" w:themeColor="text1" w:themeTint="80"/>
      <w:spacing w:val="24"/>
      <w:sz w:val="26"/>
      <w:szCs w:val="24"/>
      <w:lang w:val="en-US"/>
    </w:rPr>
  </w:style>
  <w:style w:type="table" w:styleId="LightShading">
    <w:name w:val="Light Shading"/>
    <w:basedOn w:val="TableNormal"/>
    <w:uiPriority w:val="60"/>
    <w:rsid w:val="00F54F1F"/>
    <w:pPr>
      <w:spacing w:after="0" w:line="240" w:lineRule="auto"/>
    </w:pPr>
    <w:rPr>
      <w:rFonts w:asciiTheme="minorHAnsi" w:eastAsiaTheme="minorEastAsia" w:hAnsiTheme="minorHAns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54F1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NASLOV01">
    <w:name w:val="NASLOV 01"/>
    <w:basedOn w:val="Normal"/>
    <w:autoRedefine/>
    <w:rsid w:val="00F54F1F"/>
    <w:pPr>
      <w:spacing w:after="0" w:line="240" w:lineRule="auto"/>
      <w:ind w:left="1985"/>
    </w:pPr>
    <w:rPr>
      <w:rFonts w:cstheme="minorHAnsi"/>
      <w:color w:val="595959" w:themeColor="text1" w:themeTint="A6"/>
      <w:sz w:val="60"/>
      <w:szCs w:val="60"/>
    </w:rPr>
  </w:style>
  <w:style w:type="character" w:styleId="PageNumber">
    <w:name w:val="page number"/>
    <w:basedOn w:val="DefaultParagraphFont"/>
    <w:unhideWhenUsed/>
    <w:qFormat/>
    <w:rsid w:val="00F54F1F"/>
    <w:rPr>
      <w:rFonts w:ascii="Montserrat Regular" w:hAnsi="Montserrat Regular"/>
      <w:sz w:val="18"/>
    </w:rPr>
  </w:style>
  <w:style w:type="paragraph" w:customStyle="1" w:styleId="PODNASLOV01">
    <w:name w:val="PODNASLOV 01"/>
    <w:basedOn w:val="Normal"/>
    <w:autoRedefine/>
    <w:qFormat/>
    <w:rsid w:val="00F54F1F"/>
    <w:pPr>
      <w:spacing w:after="0" w:line="240" w:lineRule="auto"/>
    </w:pPr>
    <w:rPr>
      <w:rFonts w:ascii="Montserrat Light" w:hAnsi="Montserrat Light" w:cstheme="minorHAnsi"/>
      <w:color w:val="595959" w:themeColor="text1" w:themeTint="A6"/>
      <w:sz w:val="40"/>
      <w:szCs w:val="40"/>
    </w:rPr>
  </w:style>
  <w:style w:type="paragraph" w:customStyle="1" w:styleId="NASLOVNICA">
    <w:name w:val="NASLOVNICA"/>
    <w:basedOn w:val="Normal"/>
    <w:link w:val="NASLOVNICAChar"/>
    <w:qFormat/>
    <w:rsid w:val="000F33C9"/>
    <w:pPr>
      <w:spacing w:after="0" w:line="240" w:lineRule="auto"/>
      <w:ind w:left="2126"/>
      <w:jc w:val="left"/>
    </w:pPr>
    <w:rPr>
      <w:color w:val="646668"/>
      <w:sz w:val="60"/>
    </w:rPr>
  </w:style>
  <w:style w:type="character" w:customStyle="1" w:styleId="Heading2Char">
    <w:name w:val="Heading 2 Char"/>
    <w:basedOn w:val="DefaultParagraphFont"/>
    <w:link w:val="Heading2"/>
    <w:uiPriority w:val="9"/>
    <w:rsid w:val="00741DC7"/>
    <w:rPr>
      <w:rFonts w:eastAsiaTheme="majorEastAsia" w:cstheme="majorBidi"/>
      <w:color w:val="646668"/>
      <w:sz w:val="36"/>
      <w:szCs w:val="26"/>
    </w:rPr>
  </w:style>
  <w:style w:type="character" w:customStyle="1" w:styleId="NASLOVNICAChar">
    <w:name w:val="NASLOVNICA Char"/>
    <w:basedOn w:val="DefaultParagraphFont"/>
    <w:link w:val="NASLOVNICA"/>
    <w:rsid w:val="000F33C9"/>
    <w:rPr>
      <w:rFonts w:ascii="Montserrat Regular" w:eastAsiaTheme="minorEastAsia" w:hAnsi="Montserrat Regular"/>
      <w:color w:val="646668"/>
      <w:sz w:val="60"/>
    </w:rPr>
  </w:style>
  <w:style w:type="character" w:customStyle="1" w:styleId="Heading3Char">
    <w:name w:val="Heading 3 Char"/>
    <w:basedOn w:val="DefaultParagraphFont"/>
    <w:link w:val="Heading3"/>
    <w:uiPriority w:val="9"/>
    <w:rsid w:val="003A23D6"/>
    <w:rPr>
      <w:rFonts w:eastAsiaTheme="majorEastAsia" w:cstheme="majorBidi"/>
      <w:color w:val="646668"/>
      <w:sz w:val="24"/>
      <w:szCs w:val="24"/>
    </w:rPr>
  </w:style>
  <w:style w:type="paragraph" w:styleId="TOCHeading">
    <w:name w:val="TOC Heading"/>
    <w:basedOn w:val="Heading1"/>
    <w:next w:val="Normal"/>
    <w:uiPriority w:val="39"/>
    <w:unhideWhenUsed/>
    <w:qFormat/>
    <w:rsid w:val="004812D3"/>
    <w:pPr>
      <w:keepNext/>
      <w:keepLines/>
      <w:numPr>
        <w:numId w:val="0"/>
      </w:num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D290C"/>
    <w:pPr>
      <w:tabs>
        <w:tab w:val="left" w:pos="440"/>
        <w:tab w:val="right" w:leader="dot" w:pos="9617"/>
      </w:tabs>
      <w:spacing w:after="100"/>
    </w:pPr>
  </w:style>
  <w:style w:type="paragraph" w:styleId="TOC2">
    <w:name w:val="toc 2"/>
    <w:basedOn w:val="Normal"/>
    <w:next w:val="Normal"/>
    <w:autoRedefine/>
    <w:uiPriority w:val="39"/>
    <w:unhideWhenUsed/>
    <w:rsid w:val="00276C0E"/>
    <w:pPr>
      <w:tabs>
        <w:tab w:val="left" w:pos="880"/>
        <w:tab w:val="right" w:leader="dot" w:pos="9607"/>
      </w:tabs>
      <w:spacing w:after="100"/>
      <w:ind w:left="220"/>
    </w:pPr>
  </w:style>
  <w:style w:type="paragraph" w:styleId="TOC3">
    <w:name w:val="toc 3"/>
    <w:basedOn w:val="Normal"/>
    <w:next w:val="Normal"/>
    <w:autoRedefine/>
    <w:uiPriority w:val="39"/>
    <w:unhideWhenUsed/>
    <w:rsid w:val="00CD290C"/>
    <w:pPr>
      <w:tabs>
        <w:tab w:val="left" w:pos="1320"/>
        <w:tab w:val="right" w:leader="dot" w:pos="9607"/>
      </w:tabs>
      <w:spacing w:after="100"/>
      <w:ind w:left="440"/>
    </w:pPr>
  </w:style>
  <w:style w:type="character" w:styleId="Hyperlink">
    <w:name w:val="Hyperlink"/>
    <w:basedOn w:val="DefaultParagraphFont"/>
    <w:uiPriority w:val="99"/>
    <w:unhideWhenUsed/>
    <w:rsid w:val="004812D3"/>
    <w:rPr>
      <w:color w:val="0563C1" w:themeColor="hyperlink"/>
      <w:u w:val="single"/>
    </w:rPr>
  </w:style>
  <w:style w:type="paragraph" w:customStyle="1" w:styleId="Style1">
    <w:name w:val="Style1"/>
    <w:basedOn w:val="Normal"/>
    <w:qFormat/>
    <w:rsid w:val="004812D3"/>
    <w:pPr>
      <w:spacing w:after="0" w:line="240" w:lineRule="auto"/>
      <w:ind w:right="-201"/>
    </w:pPr>
    <w:rPr>
      <w:rFonts w:ascii="Montserrat Light" w:hAnsi="Montserrat Light" w:cstheme="minorHAnsi"/>
      <w:sz w:val="40"/>
      <w:szCs w:val="40"/>
    </w:rPr>
  </w:style>
  <w:style w:type="character" w:customStyle="1" w:styleId="Heading4Char">
    <w:name w:val="Heading 4 Char"/>
    <w:basedOn w:val="DefaultParagraphFont"/>
    <w:link w:val="Heading4"/>
    <w:uiPriority w:val="9"/>
    <w:semiHidden/>
    <w:rsid w:val="001C0887"/>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1C088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1C088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1C088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1C08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088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F33C9"/>
    <w:pPr>
      <w:numPr>
        <w:numId w:val="4"/>
      </w:numPr>
      <w:contextualSpacing/>
    </w:pPr>
  </w:style>
  <w:style w:type="paragraph" w:customStyle="1" w:styleId="T-109sred">
    <w:name w:val="T-10/9 sred"/>
    <w:rsid w:val="003A23D6"/>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98-2">
    <w:name w:val="T-9/8-2"/>
    <w:link w:val="T-98-2Char"/>
    <w:rsid w:val="003A23D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customStyle="1" w:styleId="Clanak">
    <w:name w:val="Clanak"/>
    <w:next w:val="T-98-2"/>
    <w:rsid w:val="003A23D6"/>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rPr>
  </w:style>
  <w:style w:type="paragraph" w:styleId="NormalWeb">
    <w:name w:val="Normal (Web)"/>
    <w:basedOn w:val="Normal"/>
    <w:rsid w:val="003A23D6"/>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subtitle1">
    <w:name w:val="subtitle1"/>
    <w:rsid w:val="003A23D6"/>
    <w:rPr>
      <w:b/>
      <w:bCs/>
      <w:color w:val="157427"/>
      <w:sz w:val="18"/>
      <w:szCs w:val="18"/>
    </w:rPr>
  </w:style>
  <w:style w:type="character" w:customStyle="1" w:styleId="titleh11">
    <w:name w:val="title_h11"/>
    <w:rsid w:val="003A23D6"/>
    <w:rPr>
      <w:b/>
      <w:bCs/>
      <w:strike w:val="0"/>
      <w:dstrike w:val="0"/>
      <w:color w:val="157427"/>
      <w:sz w:val="21"/>
      <w:szCs w:val="21"/>
      <w:u w:val="none"/>
      <w:effect w:val="none"/>
    </w:rPr>
  </w:style>
  <w:style w:type="character" w:styleId="Strong">
    <w:name w:val="Strong"/>
    <w:qFormat/>
    <w:rsid w:val="003A23D6"/>
    <w:rPr>
      <w:b/>
      <w:bCs/>
    </w:rPr>
  </w:style>
  <w:style w:type="table" w:styleId="TableGrid">
    <w:name w:val="Table Grid"/>
    <w:basedOn w:val="TableNormal"/>
    <w:uiPriority w:val="59"/>
    <w:rsid w:val="003A23D6"/>
    <w:pPr>
      <w:spacing w:after="0" w:line="240" w:lineRule="auto"/>
    </w:pPr>
    <w:rPr>
      <w:rFonts w:ascii="Times New Roman" w:eastAsia="Times New Roman" w:hAnsi="Times New Roman" w:cs="Times New Roman"/>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A23D6"/>
    <w:pPr>
      <w:spacing w:after="0" w:line="240" w:lineRule="auto"/>
      <w:jc w:val="left"/>
    </w:pPr>
    <w:rPr>
      <w:rFonts w:ascii="Tahoma" w:eastAsia="Times New Roman" w:hAnsi="Tahoma" w:cs="Tahoma"/>
      <w:color w:val="auto"/>
      <w:sz w:val="16"/>
      <w:szCs w:val="16"/>
    </w:rPr>
  </w:style>
  <w:style w:type="character" w:customStyle="1" w:styleId="BalloonTextChar">
    <w:name w:val="Balloon Text Char"/>
    <w:basedOn w:val="DefaultParagraphFont"/>
    <w:link w:val="BalloonText"/>
    <w:uiPriority w:val="99"/>
    <w:semiHidden/>
    <w:rsid w:val="003A23D6"/>
    <w:rPr>
      <w:rFonts w:ascii="Tahoma" w:eastAsia="Times New Roman" w:hAnsi="Tahoma" w:cs="Tahoma"/>
      <w:sz w:val="16"/>
      <w:szCs w:val="16"/>
    </w:rPr>
  </w:style>
  <w:style w:type="character" w:styleId="CommentReference">
    <w:name w:val="annotation reference"/>
    <w:uiPriority w:val="99"/>
    <w:semiHidden/>
    <w:rsid w:val="003A23D6"/>
    <w:rPr>
      <w:sz w:val="16"/>
      <w:szCs w:val="16"/>
    </w:rPr>
  </w:style>
  <w:style w:type="paragraph" w:styleId="CommentText">
    <w:name w:val="annotation text"/>
    <w:basedOn w:val="Normal"/>
    <w:link w:val="CommentTextChar"/>
    <w:uiPriority w:val="99"/>
    <w:semiHidden/>
    <w:rsid w:val="003A23D6"/>
    <w:pPr>
      <w:spacing w:after="0" w:line="240" w:lineRule="auto"/>
      <w:jc w:val="left"/>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3A23D6"/>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rsid w:val="003A23D6"/>
    <w:rPr>
      <w:b/>
      <w:bCs/>
    </w:rPr>
  </w:style>
  <w:style w:type="character" w:customStyle="1" w:styleId="CommentSubjectChar">
    <w:name w:val="Comment Subject Char"/>
    <w:basedOn w:val="CommentTextChar"/>
    <w:link w:val="CommentSubject"/>
    <w:uiPriority w:val="99"/>
    <w:semiHidden/>
    <w:rsid w:val="003A23D6"/>
    <w:rPr>
      <w:rFonts w:ascii="Times New Roman" w:eastAsia="Times New Roman" w:hAnsi="Times New Roman" w:cs="Times New Roman"/>
      <w:b/>
      <w:bCs/>
      <w:szCs w:val="20"/>
    </w:rPr>
  </w:style>
  <w:style w:type="paragraph" w:customStyle="1" w:styleId="Normaljustify">
    <w:name w:val="Normal+justify"/>
    <w:basedOn w:val="T-98-2"/>
    <w:link w:val="NormaljustifyChar"/>
    <w:rsid w:val="003A23D6"/>
    <w:pPr>
      <w:spacing w:after="120"/>
      <w:ind w:firstLine="0"/>
    </w:pPr>
    <w:rPr>
      <w:sz w:val="24"/>
      <w:szCs w:val="24"/>
    </w:rPr>
  </w:style>
  <w:style w:type="character" w:customStyle="1" w:styleId="T-98-2Char">
    <w:name w:val="T-9/8-2 Char"/>
    <w:link w:val="T-98-2"/>
    <w:rsid w:val="003A23D6"/>
    <w:rPr>
      <w:rFonts w:ascii="Times-NewRoman" w:eastAsia="Times New Roman" w:hAnsi="Times-NewRoman" w:cs="Times New Roman"/>
      <w:sz w:val="19"/>
      <w:szCs w:val="19"/>
      <w:lang w:val="en-US"/>
    </w:rPr>
  </w:style>
  <w:style w:type="character" w:customStyle="1" w:styleId="NormaljustifyChar">
    <w:name w:val="Normal+justify Char"/>
    <w:link w:val="Normaljustify"/>
    <w:rsid w:val="003A23D6"/>
    <w:rPr>
      <w:rFonts w:ascii="Times-NewRoman" w:eastAsia="Times New Roman" w:hAnsi="Times-NewRoman" w:cs="Times New Roman"/>
      <w:sz w:val="24"/>
      <w:szCs w:val="24"/>
      <w:lang w:val="en-US"/>
    </w:rPr>
  </w:style>
  <w:style w:type="character" w:customStyle="1" w:styleId="bold1">
    <w:name w:val="bold1"/>
    <w:rsid w:val="003A23D6"/>
    <w:rPr>
      <w:b/>
      <w:bCs/>
    </w:rPr>
  </w:style>
  <w:style w:type="paragraph" w:styleId="FootnoteText">
    <w:name w:val="footnote text"/>
    <w:basedOn w:val="Normal"/>
    <w:link w:val="FootnoteTextChar"/>
    <w:uiPriority w:val="99"/>
    <w:rsid w:val="003A23D6"/>
    <w:pPr>
      <w:spacing w:after="0" w:line="240" w:lineRule="auto"/>
      <w:jc w:val="left"/>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3A23D6"/>
    <w:rPr>
      <w:rFonts w:ascii="Times New Roman" w:eastAsia="Times New Roman" w:hAnsi="Times New Roman" w:cs="Times New Roman"/>
      <w:szCs w:val="20"/>
    </w:rPr>
  </w:style>
  <w:style w:type="character" w:styleId="FootnoteReference">
    <w:name w:val="footnote reference"/>
    <w:uiPriority w:val="99"/>
    <w:rsid w:val="003A23D6"/>
    <w:rPr>
      <w:vertAlign w:val="superscript"/>
    </w:rPr>
  </w:style>
  <w:style w:type="table" w:styleId="TableClassic3">
    <w:name w:val="Table Classic 3"/>
    <w:basedOn w:val="TableNormal"/>
    <w:rsid w:val="003A23D6"/>
    <w:pPr>
      <w:spacing w:after="0" w:line="240" w:lineRule="auto"/>
    </w:pPr>
    <w:rPr>
      <w:rFonts w:ascii="Times New Roman" w:eastAsia="Times New Roman" w:hAnsi="Times New Roman" w:cs="Times New Roman"/>
      <w:color w:val="00008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3A23D6"/>
    <w:pPr>
      <w:spacing w:after="0" w:line="240" w:lineRule="auto"/>
    </w:pPr>
    <w:rPr>
      <w:rFonts w:ascii="Times New Roman" w:eastAsia="Times New Roman" w:hAnsi="Times New Roman" w:cs="Times New Roman"/>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A23D6"/>
    <w:pPr>
      <w:spacing w:after="0" w:line="240" w:lineRule="auto"/>
    </w:pPr>
    <w:rPr>
      <w:rFonts w:ascii="Times New Roman" w:eastAsia="Times New Roman" w:hAnsi="Times New Roman" w:cs="Times New Roman"/>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3A23D6"/>
    <w:pPr>
      <w:spacing w:after="0" w:line="240" w:lineRule="auto"/>
    </w:pPr>
    <w:rPr>
      <w:rFonts w:ascii="Times New Roman" w:eastAsia="Times New Roman" w:hAnsi="Times New Roman" w:cs="Times New Roman"/>
      <w:b/>
      <w:bCs/>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3A23D6"/>
    <w:pPr>
      <w:spacing w:after="0" w:line="240" w:lineRule="auto"/>
    </w:pPr>
    <w:rPr>
      <w:rFonts w:ascii="Times New Roman" w:eastAsia="Times New Roman" w:hAnsi="Times New Roman" w:cs="Times New Roman"/>
      <w:b/>
      <w:bCs/>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3A23D6"/>
    <w:pPr>
      <w:spacing w:after="0" w:line="240" w:lineRule="auto"/>
    </w:pPr>
    <w:rPr>
      <w:rFonts w:ascii="Times New Roman" w:eastAsia="Times New Roman" w:hAnsi="Times New Roman" w:cs="Times New Roman"/>
      <w:b/>
      <w:bCs/>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3A23D6"/>
    <w:pPr>
      <w:spacing w:after="0" w:line="240" w:lineRule="auto"/>
    </w:pPr>
    <w:rPr>
      <w:rFonts w:ascii="Times New Roman" w:eastAsia="Times New Roman" w:hAnsi="Times New Roman" w:cs="Times New Roman"/>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3A23D6"/>
    <w:pPr>
      <w:spacing w:after="0" w:line="240" w:lineRule="auto"/>
    </w:pPr>
    <w:rPr>
      <w:rFonts w:ascii="Times New Roman" w:eastAsia="Times New Roman" w:hAnsi="Times New Roman" w:cs="Times New Roman"/>
      <w:color w:val="FFFFFF"/>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Emphasis">
    <w:name w:val="Emphasis"/>
    <w:qFormat/>
    <w:rsid w:val="003A23D6"/>
    <w:rPr>
      <w:i/>
      <w:iCs/>
    </w:rPr>
  </w:style>
  <w:style w:type="table" w:styleId="Table3Deffects2">
    <w:name w:val="Table 3D effects 2"/>
    <w:basedOn w:val="TableNormal"/>
    <w:rsid w:val="003A23D6"/>
    <w:pPr>
      <w:spacing w:after="0" w:line="240" w:lineRule="auto"/>
    </w:pPr>
    <w:rPr>
      <w:rFonts w:ascii="Times New Roman" w:eastAsia="Times New Roman" w:hAnsi="Times New Roman" w:cs="Times New Roman"/>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3A23D6"/>
    <w:pPr>
      <w:spacing w:after="0" w:line="240" w:lineRule="auto"/>
    </w:pPr>
    <w:rPr>
      <w:rFonts w:ascii="Times New Roman" w:eastAsia="Times New Roman" w:hAnsi="Times New Roman" w:cs="Times New Roman"/>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rsid w:val="003A23D6"/>
    <w:pPr>
      <w:spacing w:after="0" w:line="240" w:lineRule="auto"/>
    </w:pPr>
    <w:rPr>
      <w:rFonts w:ascii="Times New Roman" w:eastAsia="Times New Roman" w:hAnsi="Times New Roman" w:cs="Times New Roman"/>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A23D6"/>
    <w:pPr>
      <w:spacing w:after="0" w:line="240" w:lineRule="auto"/>
    </w:pPr>
    <w:rPr>
      <w:rFonts w:ascii="Times New Roman" w:eastAsia="Times New Roman" w:hAnsi="Times New Roman" w:cs="Times New Roman"/>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Web1">
    <w:name w:val="Table Web 1"/>
    <w:basedOn w:val="TableNormal"/>
    <w:rsid w:val="003A23D6"/>
    <w:pPr>
      <w:spacing w:after="0" w:line="240" w:lineRule="auto"/>
    </w:pPr>
    <w:rPr>
      <w:rFonts w:ascii="Times New Roman" w:eastAsia="Times New Roman" w:hAnsi="Times New Roman" w:cs="Times New Roman"/>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2-Accent3">
    <w:name w:val="Medium List 2 Accent 3"/>
    <w:basedOn w:val="TableNormal"/>
    <w:uiPriority w:val="66"/>
    <w:rsid w:val="003A23D6"/>
    <w:pPr>
      <w:spacing w:after="0" w:line="240" w:lineRule="auto"/>
    </w:pPr>
    <w:rPr>
      <w:rFonts w:ascii="Cambria" w:eastAsia="SimSun" w:hAnsi="Cambria" w:cs="Times New Roman"/>
      <w:color w:val="00000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msonospacing0">
    <w:name w:val="msonospacing"/>
    <w:rsid w:val="003A23D6"/>
    <w:pPr>
      <w:spacing w:after="0" w:line="240" w:lineRule="auto"/>
    </w:pPr>
    <w:rPr>
      <w:rFonts w:ascii="Calibri" w:eastAsia="Times New Roman" w:hAnsi="Calibri" w:cs="Times New Roman"/>
      <w:sz w:val="22"/>
      <w:lang w:val="en-US"/>
    </w:rPr>
  </w:style>
  <w:style w:type="paragraph" w:styleId="Title">
    <w:name w:val="Title"/>
    <w:basedOn w:val="Normal"/>
    <w:next w:val="Normal"/>
    <w:link w:val="TitleChar"/>
    <w:qFormat/>
    <w:rsid w:val="003A23D6"/>
    <w:pPr>
      <w:spacing w:before="240" w:after="60" w:line="240" w:lineRule="auto"/>
      <w:jc w:val="left"/>
      <w:outlineLvl w:val="0"/>
    </w:pPr>
    <w:rPr>
      <w:rFonts w:ascii="Times New Roman" w:eastAsia="SimSun" w:hAnsi="Times New Roman" w:cs="Times New Roman"/>
      <w:bCs/>
      <w:i/>
      <w:color w:val="auto"/>
      <w:kern w:val="28"/>
      <w:sz w:val="28"/>
      <w:szCs w:val="32"/>
    </w:rPr>
  </w:style>
  <w:style w:type="character" w:customStyle="1" w:styleId="TitleChar">
    <w:name w:val="Title Char"/>
    <w:basedOn w:val="DefaultParagraphFont"/>
    <w:link w:val="Title"/>
    <w:rsid w:val="003A23D6"/>
    <w:rPr>
      <w:rFonts w:ascii="Times New Roman" w:eastAsia="SimSun" w:hAnsi="Times New Roman" w:cs="Times New Roman"/>
      <w:bCs/>
      <w:i/>
      <w:kern w:val="28"/>
      <w:sz w:val="28"/>
      <w:szCs w:val="32"/>
    </w:rPr>
  </w:style>
  <w:style w:type="paragraph" w:styleId="Subtitle">
    <w:name w:val="Subtitle"/>
    <w:basedOn w:val="Normal"/>
    <w:next w:val="Normal"/>
    <w:link w:val="SubtitleChar"/>
    <w:qFormat/>
    <w:rsid w:val="003A23D6"/>
    <w:pPr>
      <w:spacing w:after="60" w:line="240" w:lineRule="auto"/>
      <w:jc w:val="left"/>
      <w:outlineLvl w:val="1"/>
    </w:pPr>
    <w:rPr>
      <w:rFonts w:ascii="Times New Roman" w:eastAsia="SimSun" w:hAnsi="Times New Roman" w:cs="Times New Roman"/>
      <w:i/>
      <w:color w:val="auto"/>
      <w:sz w:val="24"/>
      <w:szCs w:val="24"/>
    </w:rPr>
  </w:style>
  <w:style w:type="character" w:customStyle="1" w:styleId="SubtitleChar">
    <w:name w:val="Subtitle Char"/>
    <w:basedOn w:val="DefaultParagraphFont"/>
    <w:link w:val="Subtitle"/>
    <w:rsid w:val="003A23D6"/>
    <w:rPr>
      <w:rFonts w:ascii="Times New Roman" w:eastAsia="SimSun" w:hAnsi="Times New Roman" w:cs="Times New Roman"/>
      <w:i/>
      <w:sz w:val="24"/>
      <w:szCs w:val="24"/>
    </w:rPr>
  </w:style>
  <w:style w:type="paragraph" w:styleId="Revision">
    <w:name w:val="Revision"/>
    <w:hidden/>
    <w:uiPriority w:val="99"/>
    <w:semiHidden/>
    <w:rsid w:val="003A23D6"/>
    <w:pPr>
      <w:spacing w:after="0"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3A23D6"/>
    <w:rPr>
      <w:i/>
      <w:iCs/>
      <w:color w:val="auto"/>
    </w:rPr>
  </w:style>
  <w:style w:type="character" w:styleId="IntenseReference">
    <w:name w:val="Intense Reference"/>
    <w:basedOn w:val="DefaultParagraphFont"/>
    <w:uiPriority w:val="32"/>
    <w:qFormat/>
    <w:rsid w:val="003A23D6"/>
    <w:rPr>
      <w:b/>
      <w:bCs/>
      <w:smallCaps/>
      <w:color w:val="auto"/>
      <w:spacing w:val="5"/>
    </w:rPr>
  </w:style>
  <w:style w:type="paragraph" w:customStyle="1" w:styleId="body5">
    <w:name w:val="body 5"/>
    <w:basedOn w:val="Normal"/>
    <w:link w:val="body5Char"/>
    <w:autoRedefine/>
    <w:qFormat/>
    <w:rsid w:val="003A23D6"/>
    <w:pPr>
      <w:spacing w:after="0" w:line="240" w:lineRule="auto"/>
      <w:ind w:left="720"/>
      <w:jc w:val="left"/>
    </w:pPr>
    <w:rPr>
      <w:rFonts w:ascii="Times New Roman" w:eastAsia="Times New Roman" w:hAnsi="Times New Roman" w:cs="Times New Roman"/>
      <w:color w:val="auto"/>
      <w:sz w:val="24"/>
      <w:szCs w:val="24"/>
    </w:rPr>
  </w:style>
  <w:style w:type="character" w:customStyle="1" w:styleId="body5Char">
    <w:name w:val="body 5 Char"/>
    <w:basedOn w:val="DefaultParagraphFont"/>
    <w:link w:val="body5"/>
    <w:rsid w:val="003A23D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A23D6"/>
    <w:rPr>
      <w:color w:val="605E5C"/>
      <w:shd w:val="clear" w:color="auto" w:fill="E1DFDD"/>
    </w:rPr>
  </w:style>
  <w:style w:type="paragraph" w:styleId="Caption">
    <w:name w:val="caption"/>
    <w:basedOn w:val="Normal"/>
    <w:next w:val="Normal"/>
    <w:uiPriority w:val="35"/>
    <w:unhideWhenUsed/>
    <w:qFormat/>
    <w:rsid w:val="00E9226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31C4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7808">
      <w:bodyDiv w:val="1"/>
      <w:marLeft w:val="0"/>
      <w:marRight w:val="0"/>
      <w:marTop w:val="0"/>
      <w:marBottom w:val="0"/>
      <w:divBdr>
        <w:top w:val="none" w:sz="0" w:space="0" w:color="auto"/>
        <w:left w:val="none" w:sz="0" w:space="0" w:color="auto"/>
        <w:bottom w:val="none" w:sz="0" w:space="0" w:color="auto"/>
        <w:right w:val="none" w:sz="0" w:space="0" w:color="auto"/>
      </w:divBdr>
    </w:div>
    <w:div w:id="324864523">
      <w:bodyDiv w:val="1"/>
      <w:marLeft w:val="0"/>
      <w:marRight w:val="0"/>
      <w:marTop w:val="0"/>
      <w:marBottom w:val="0"/>
      <w:divBdr>
        <w:top w:val="none" w:sz="0" w:space="0" w:color="auto"/>
        <w:left w:val="none" w:sz="0" w:space="0" w:color="auto"/>
        <w:bottom w:val="none" w:sz="0" w:space="0" w:color="auto"/>
        <w:right w:val="none" w:sz="0" w:space="0" w:color="auto"/>
      </w:divBdr>
    </w:div>
    <w:div w:id="331377610">
      <w:bodyDiv w:val="1"/>
      <w:marLeft w:val="0"/>
      <w:marRight w:val="0"/>
      <w:marTop w:val="0"/>
      <w:marBottom w:val="0"/>
      <w:divBdr>
        <w:top w:val="none" w:sz="0" w:space="0" w:color="auto"/>
        <w:left w:val="none" w:sz="0" w:space="0" w:color="auto"/>
        <w:bottom w:val="none" w:sz="0" w:space="0" w:color="auto"/>
        <w:right w:val="none" w:sz="0" w:space="0" w:color="auto"/>
      </w:divBdr>
    </w:div>
    <w:div w:id="394159570">
      <w:bodyDiv w:val="1"/>
      <w:marLeft w:val="0"/>
      <w:marRight w:val="0"/>
      <w:marTop w:val="0"/>
      <w:marBottom w:val="0"/>
      <w:divBdr>
        <w:top w:val="none" w:sz="0" w:space="0" w:color="auto"/>
        <w:left w:val="none" w:sz="0" w:space="0" w:color="auto"/>
        <w:bottom w:val="none" w:sz="0" w:space="0" w:color="auto"/>
        <w:right w:val="none" w:sz="0" w:space="0" w:color="auto"/>
      </w:divBdr>
    </w:div>
    <w:div w:id="453646288">
      <w:bodyDiv w:val="1"/>
      <w:marLeft w:val="0"/>
      <w:marRight w:val="0"/>
      <w:marTop w:val="0"/>
      <w:marBottom w:val="0"/>
      <w:divBdr>
        <w:top w:val="none" w:sz="0" w:space="0" w:color="auto"/>
        <w:left w:val="none" w:sz="0" w:space="0" w:color="auto"/>
        <w:bottom w:val="none" w:sz="0" w:space="0" w:color="auto"/>
        <w:right w:val="none" w:sz="0" w:space="0" w:color="auto"/>
      </w:divBdr>
    </w:div>
    <w:div w:id="794328450">
      <w:bodyDiv w:val="1"/>
      <w:marLeft w:val="0"/>
      <w:marRight w:val="0"/>
      <w:marTop w:val="0"/>
      <w:marBottom w:val="0"/>
      <w:divBdr>
        <w:top w:val="none" w:sz="0" w:space="0" w:color="auto"/>
        <w:left w:val="none" w:sz="0" w:space="0" w:color="auto"/>
        <w:bottom w:val="none" w:sz="0" w:space="0" w:color="auto"/>
        <w:right w:val="none" w:sz="0" w:space="0" w:color="auto"/>
      </w:divBdr>
    </w:div>
    <w:div w:id="947274612">
      <w:bodyDiv w:val="1"/>
      <w:marLeft w:val="0"/>
      <w:marRight w:val="0"/>
      <w:marTop w:val="0"/>
      <w:marBottom w:val="0"/>
      <w:divBdr>
        <w:top w:val="none" w:sz="0" w:space="0" w:color="auto"/>
        <w:left w:val="none" w:sz="0" w:space="0" w:color="auto"/>
        <w:bottom w:val="none" w:sz="0" w:space="0" w:color="auto"/>
        <w:right w:val="none" w:sz="0" w:space="0" w:color="auto"/>
      </w:divBdr>
    </w:div>
    <w:div w:id="952901312">
      <w:bodyDiv w:val="1"/>
      <w:marLeft w:val="0"/>
      <w:marRight w:val="0"/>
      <w:marTop w:val="0"/>
      <w:marBottom w:val="0"/>
      <w:divBdr>
        <w:top w:val="none" w:sz="0" w:space="0" w:color="auto"/>
        <w:left w:val="none" w:sz="0" w:space="0" w:color="auto"/>
        <w:bottom w:val="none" w:sz="0" w:space="0" w:color="auto"/>
        <w:right w:val="none" w:sz="0" w:space="0" w:color="auto"/>
      </w:divBdr>
    </w:div>
    <w:div w:id="1250120355">
      <w:bodyDiv w:val="1"/>
      <w:marLeft w:val="0"/>
      <w:marRight w:val="0"/>
      <w:marTop w:val="0"/>
      <w:marBottom w:val="0"/>
      <w:divBdr>
        <w:top w:val="none" w:sz="0" w:space="0" w:color="auto"/>
        <w:left w:val="none" w:sz="0" w:space="0" w:color="auto"/>
        <w:bottom w:val="none" w:sz="0" w:space="0" w:color="auto"/>
        <w:right w:val="none" w:sz="0" w:space="0" w:color="auto"/>
      </w:divBdr>
    </w:div>
    <w:div w:id="1314336398">
      <w:bodyDiv w:val="1"/>
      <w:marLeft w:val="0"/>
      <w:marRight w:val="0"/>
      <w:marTop w:val="0"/>
      <w:marBottom w:val="0"/>
      <w:divBdr>
        <w:top w:val="none" w:sz="0" w:space="0" w:color="auto"/>
        <w:left w:val="none" w:sz="0" w:space="0" w:color="auto"/>
        <w:bottom w:val="none" w:sz="0" w:space="0" w:color="auto"/>
        <w:right w:val="none" w:sz="0" w:space="0" w:color="auto"/>
      </w:divBdr>
    </w:div>
    <w:div w:id="1468010178">
      <w:bodyDiv w:val="1"/>
      <w:marLeft w:val="0"/>
      <w:marRight w:val="0"/>
      <w:marTop w:val="0"/>
      <w:marBottom w:val="0"/>
      <w:divBdr>
        <w:top w:val="none" w:sz="0" w:space="0" w:color="auto"/>
        <w:left w:val="none" w:sz="0" w:space="0" w:color="auto"/>
        <w:bottom w:val="none" w:sz="0" w:space="0" w:color="auto"/>
        <w:right w:val="none" w:sz="0" w:space="0" w:color="auto"/>
      </w:divBdr>
    </w:div>
    <w:div w:id="1483110492">
      <w:bodyDiv w:val="1"/>
      <w:marLeft w:val="0"/>
      <w:marRight w:val="0"/>
      <w:marTop w:val="0"/>
      <w:marBottom w:val="0"/>
      <w:divBdr>
        <w:top w:val="none" w:sz="0" w:space="0" w:color="auto"/>
        <w:left w:val="none" w:sz="0" w:space="0" w:color="auto"/>
        <w:bottom w:val="none" w:sz="0" w:space="0" w:color="auto"/>
        <w:right w:val="none" w:sz="0" w:space="0" w:color="auto"/>
      </w:divBdr>
    </w:div>
    <w:div w:id="1591619109">
      <w:bodyDiv w:val="1"/>
      <w:marLeft w:val="0"/>
      <w:marRight w:val="0"/>
      <w:marTop w:val="0"/>
      <w:marBottom w:val="0"/>
      <w:divBdr>
        <w:top w:val="none" w:sz="0" w:space="0" w:color="auto"/>
        <w:left w:val="none" w:sz="0" w:space="0" w:color="auto"/>
        <w:bottom w:val="none" w:sz="0" w:space="0" w:color="auto"/>
        <w:right w:val="none" w:sz="0" w:space="0" w:color="auto"/>
      </w:divBdr>
    </w:div>
    <w:div w:id="1596784991">
      <w:bodyDiv w:val="1"/>
      <w:marLeft w:val="0"/>
      <w:marRight w:val="0"/>
      <w:marTop w:val="0"/>
      <w:marBottom w:val="0"/>
      <w:divBdr>
        <w:top w:val="none" w:sz="0" w:space="0" w:color="auto"/>
        <w:left w:val="none" w:sz="0" w:space="0" w:color="auto"/>
        <w:bottom w:val="none" w:sz="0" w:space="0" w:color="auto"/>
        <w:right w:val="none" w:sz="0" w:space="0" w:color="auto"/>
      </w:divBdr>
    </w:div>
    <w:div w:id="2057315906">
      <w:bodyDiv w:val="1"/>
      <w:marLeft w:val="0"/>
      <w:marRight w:val="0"/>
      <w:marTop w:val="0"/>
      <w:marBottom w:val="0"/>
      <w:divBdr>
        <w:top w:val="none" w:sz="0" w:space="0" w:color="auto"/>
        <w:left w:val="none" w:sz="0" w:space="0" w:color="auto"/>
        <w:bottom w:val="none" w:sz="0" w:space="0" w:color="auto"/>
        <w:right w:val="none" w:sz="0" w:space="0" w:color="auto"/>
      </w:divBdr>
    </w:div>
    <w:div w:id="206544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nd-nek.hr" TargetMode="Externa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AZJMDCZ6QSYZ-1849078857-25829</_dlc_DocId>
    <_dlc_DocIdUrl xmlns="a494813a-d0d8-4dad-94cb-0d196f36ba15">
      <Url>https://ekoordinacije.vlada.hr/koordinacija-gospodarstvo/_layouts/15/DocIdRedir.aspx?ID=AZJMDCZ6QSYZ-1849078857-25829</Url>
      <Description>AZJMDCZ6QSYZ-1849078857-25829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731C-F631-4671-9388-BA5A01C4300D}">
  <ds:schemaRefs>
    <ds:schemaRef ds:uri="http://schemas.microsoft.com/sharepoint/v3/contenttype/forms"/>
  </ds:schemaRefs>
</ds:datastoreItem>
</file>

<file path=customXml/itemProps2.xml><?xml version="1.0" encoding="utf-8"?>
<ds:datastoreItem xmlns:ds="http://schemas.openxmlformats.org/officeDocument/2006/customXml" ds:itemID="{7C2C123D-0D22-4B43-AD15-46B556001415}">
  <ds:schemaRefs>
    <ds:schemaRef ds:uri="http://schemas.microsoft.com/sharepoint/events"/>
  </ds:schemaRefs>
</ds:datastoreItem>
</file>

<file path=customXml/itemProps3.xml><?xml version="1.0" encoding="utf-8"?>
<ds:datastoreItem xmlns:ds="http://schemas.openxmlformats.org/officeDocument/2006/customXml" ds:itemID="{1330E40B-02B9-4476-9F93-49F9584D1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ABBA0-E5D8-48D4-A554-A2BB31F49C6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8DD34D1B-BF4F-4C8B-BE5B-2411E3C5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9436</Words>
  <Characters>53788</Characters>
  <Application>Microsoft Office Word</Application>
  <DocSecurity>0</DocSecurity>
  <Lines>448</Lines>
  <Paragraphs>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Miščević</dc:creator>
  <cp:keywords/>
  <dc:description/>
  <cp:lastModifiedBy>Ines Uglešić</cp:lastModifiedBy>
  <cp:revision>3</cp:revision>
  <cp:lastPrinted>2022-12-08T09:56:00Z</cp:lastPrinted>
  <dcterms:created xsi:type="dcterms:W3CDTF">2023-03-27T10:26:00Z</dcterms:created>
  <dcterms:modified xsi:type="dcterms:W3CDTF">2023-04-03T13:04:00Z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9467de00-640d-4cb3-a433-01d8952b1e6e</vt:lpwstr>
  </property>
</Properties>
</file>